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F42A8" w14:textId="26476FAD" w:rsidR="00DE1FB1" w:rsidRDefault="00DE1FB1" w:rsidP="00DE1FB1">
      <w:pPr>
        <w:pStyle w:val="Tekstpodstawowy2"/>
        <w:spacing w:after="120"/>
        <w:ind w:left="425"/>
        <w:jc w:val="center"/>
        <w:rPr>
          <w:rFonts w:ascii="Times New Roman" w:hAnsi="Times New Roman"/>
          <w:b/>
          <w:sz w:val="24"/>
          <w:szCs w:val="24"/>
        </w:rPr>
      </w:pPr>
      <w:r w:rsidRPr="00C629B5">
        <w:rPr>
          <w:rFonts w:ascii="Times New Roman" w:hAnsi="Times New Roman"/>
          <w:b/>
          <w:sz w:val="24"/>
          <w:szCs w:val="24"/>
        </w:rPr>
        <w:t xml:space="preserve">Zestawienie </w:t>
      </w:r>
      <w:r w:rsidR="00D80A72">
        <w:rPr>
          <w:rFonts w:ascii="Times New Roman" w:hAnsi="Times New Roman"/>
          <w:b/>
          <w:sz w:val="24"/>
          <w:szCs w:val="24"/>
        </w:rPr>
        <w:t xml:space="preserve">nieuwzględnionych </w:t>
      </w:r>
      <w:r w:rsidRPr="00C629B5">
        <w:rPr>
          <w:rFonts w:ascii="Times New Roman" w:hAnsi="Times New Roman"/>
          <w:b/>
          <w:sz w:val="24"/>
          <w:szCs w:val="24"/>
        </w:rPr>
        <w:t xml:space="preserve">uwag zgłoszonych w ramach </w:t>
      </w:r>
      <w:r w:rsidRPr="00D4791D">
        <w:rPr>
          <w:rFonts w:ascii="Times New Roman" w:hAnsi="Times New Roman"/>
          <w:b/>
          <w:sz w:val="24"/>
          <w:szCs w:val="24"/>
        </w:rPr>
        <w:t>opiniowania</w:t>
      </w:r>
      <w:r>
        <w:rPr>
          <w:rFonts w:ascii="Times New Roman" w:hAnsi="Times New Roman"/>
          <w:b/>
          <w:sz w:val="24"/>
          <w:szCs w:val="24"/>
        </w:rPr>
        <w:t xml:space="preserve"> </w:t>
      </w:r>
      <w:r w:rsidRPr="00C629B5">
        <w:rPr>
          <w:rFonts w:ascii="Times New Roman" w:hAnsi="Times New Roman"/>
          <w:b/>
          <w:sz w:val="24"/>
          <w:szCs w:val="24"/>
        </w:rPr>
        <w:t>projektu ustawy o zmianie ustawy o postępowaniu w sprawach dotyczących pomocy publicznej oraz niektórych innych ustaw (UDER101)</w:t>
      </w:r>
    </w:p>
    <w:p w14:paraId="02E8099E" w14:textId="77777777" w:rsidR="0086261C" w:rsidRPr="002F3A64" w:rsidRDefault="0086261C" w:rsidP="0086261C">
      <w:pPr>
        <w:pStyle w:val="Akapitzlist"/>
        <w:spacing w:line="240" w:lineRule="auto"/>
        <w:ind w:left="714"/>
        <w:rPr>
          <w:rFonts w:ascii="Times New Roman" w:hAnsi="Times New Roman" w:cs="Times New Roman"/>
          <w:b/>
          <w:sz w:val="24"/>
        </w:rPr>
      </w:pPr>
    </w:p>
    <w:tbl>
      <w:tblPr>
        <w:tblStyle w:val="Tabela-Siatka"/>
        <w:tblW w:w="14743" w:type="dxa"/>
        <w:tblInd w:w="-431" w:type="dxa"/>
        <w:tblLayout w:type="fixed"/>
        <w:tblLook w:val="04A0" w:firstRow="1" w:lastRow="0" w:firstColumn="1" w:lastColumn="0" w:noHBand="0" w:noVBand="1"/>
      </w:tblPr>
      <w:tblGrid>
        <w:gridCol w:w="567"/>
        <w:gridCol w:w="1134"/>
        <w:gridCol w:w="1559"/>
        <w:gridCol w:w="6097"/>
        <w:gridCol w:w="5386"/>
      </w:tblGrid>
      <w:tr w:rsidR="00730890" w:rsidRPr="002F3A64" w14:paraId="7B45E4A0" w14:textId="71B57FB3" w:rsidTr="00730890">
        <w:trPr>
          <w:trHeight w:val="1022"/>
        </w:trPr>
        <w:tc>
          <w:tcPr>
            <w:tcW w:w="567" w:type="dxa"/>
            <w:shd w:val="clear" w:color="auto" w:fill="7F7F7F" w:themeFill="text1" w:themeFillTint="80"/>
            <w:vAlign w:val="center"/>
          </w:tcPr>
          <w:p w14:paraId="1C01D9A2" w14:textId="34A70F71" w:rsidR="00730890" w:rsidRPr="002F3A64" w:rsidRDefault="00730890" w:rsidP="00D6410A">
            <w:pPr>
              <w:ind w:left="-106"/>
              <w:jc w:val="center"/>
              <w:rPr>
                <w:rFonts w:ascii="Times New Roman" w:hAnsi="Times New Roman" w:cs="Times New Roman"/>
                <w:b/>
              </w:rPr>
            </w:pPr>
            <w:r w:rsidRPr="00D6410A">
              <w:rPr>
                <w:rFonts w:ascii="Times New Roman" w:hAnsi="Times New Roman" w:cs="Times New Roman"/>
                <w:b/>
                <w:sz w:val="18"/>
                <w:szCs w:val="18"/>
              </w:rPr>
              <w:t>Lp</w:t>
            </w:r>
            <w:r>
              <w:rPr>
                <w:rFonts w:ascii="Times New Roman" w:hAnsi="Times New Roman" w:cs="Times New Roman"/>
                <w:b/>
                <w:sz w:val="18"/>
                <w:szCs w:val="18"/>
              </w:rPr>
              <w:t>.</w:t>
            </w:r>
          </w:p>
        </w:tc>
        <w:tc>
          <w:tcPr>
            <w:tcW w:w="1134" w:type="dxa"/>
            <w:shd w:val="clear" w:color="auto" w:fill="7F7F7F" w:themeFill="text1" w:themeFillTint="80"/>
            <w:vAlign w:val="center"/>
          </w:tcPr>
          <w:p w14:paraId="2BF50200" w14:textId="77777777" w:rsidR="00730890" w:rsidRDefault="00730890" w:rsidP="00580EDC">
            <w:pPr>
              <w:jc w:val="center"/>
              <w:rPr>
                <w:rFonts w:ascii="Times New Roman" w:hAnsi="Times New Roman" w:cs="Times New Roman"/>
                <w:b/>
              </w:rPr>
            </w:pPr>
            <w:r w:rsidRPr="002F3A64">
              <w:rPr>
                <w:rFonts w:ascii="Times New Roman" w:hAnsi="Times New Roman" w:cs="Times New Roman"/>
                <w:b/>
              </w:rPr>
              <w:t>Jedn</w:t>
            </w:r>
            <w:r>
              <w:rPr>
                <w:rFonts w:ascii="Times New Roman" w:hAnsi="Times New Roman" w:cs="Times New Roman"/>
                <w:b/>
              </w:rPr>
              <w:t>.</w:t>
            </w:r>
            <w:r w:rsidRPr="002F3A64">
              <w:rPr>
                <w:rFonts w:ascii="Times New Roman" w:hAnsi="Times New Roman" w:cs="Times New Roman"/>
                <w:b/>
              </w:rPr>
              <w:t xml:space="preserve"> </w:t>
            </w:r>
            <w:r>
              <w:rPr>
                <w:rFonts w:ascii="Times New Roman" w:hAnsi="Times New Roman" w:cs="Times New Roman"/>
                <w:b/>
              </w:rPr>
              <w:t>r</w:t>
            </w:r>
            <w:r w:rsidRPr="002F3A64">
              <w:rPr>
                <w:rFonts w:ascii="Times New Roman" w:hAnsi="Times New Roman" w:cs="Times New Roman"/>
                <w:b/>
              </w:rPr>
              <w:t>ed</w:t>
            </w:r>
            <w:r>
              <w:rPr>
                <w:rFonts w:ascii="Times New Roman" w:hAnsi="Times New Roman" w:cs="Times New Roman"/>
                <w:b/>
              </w:rPr>
              <w:t>.</w:t>
            </w:r>
            <w:r w:rsidRPr="002F3A64">
              <w:rPr>
                <w:rFonts w:ascii="Times New Roman" w:hAnsi="Times New Roman" w:cs="Times New Roman"/>
                <w:b/>
              </w:rPr>
              <w:t>/</w:t>
            </w:r>
          </w:p>
          <w:p w14:paraId="0E06D447" w14:textId="209C6C57" w:rsidR="00730890" w:rsidRPr="002F3A64" w:rsidRDefault="00730890" w:rsidP="00580EDC">
            <w:pPr>
              <w:jc w:val="center"/>
              <w:rPr>
                <w:rFonts w:ascii="Times New Roman" w:hAnsi="Times New Roman" w:cs="Times New Roman"/>
                <w:b/>
                <w:vertAlign w:val="superscript"/>
              </w:rPr>
            </w:pPr>
            <w:r w:rsidRPr="002F3A64">
              <w:rPr>
                <w:rFonts w:ascii="Times New Roman" w:hAnsi="Times New Roman" w:cs="Times New Roman"/>
                <w:b/>
              </w:rPr>
              <w:t>część projektu ustawy</w:t>
            </w:r>
          </w:p>
        </w:tc>
        <w:tc>
          <w:tcPr>
            <w:tcW w:w="1559" w:type="dxa"/>
            <w:shd w:val="clear" w:color="auto" w:fill="7F7F7F" w:themeFill="text1" w:themeFillTint="80"/>
            <w:vAlign w:val="center"/>
          </w:tcPr>
          <w:p w14:paraId="370A52A7" w14:textId="0FDB9E24" w:rsidR="00730890" w:rsidRPr="002F3A64" w:rsidRDefault="00730890" w:rsidP="00580EDC">
            <w:pPr>
              <w:jc w:val="center"/>
              <w:rPr>
                <w:rFonts w:ascii="Times New Roman" w:hAnsi="Times New Roman" w:cs="Times New Roman"/>
                <w:b/>
              </w:rPr>
            </w:pPr>
            <w:r>
              <w:rPr>
                <w:rFonts w:ascii="Times New Roman" w:hAnsi="Times New Roman" w:cs="Times New Roman"/>
                <w:b/>
              </w:rPr>
              <w:t>Instytucja</w:t>
            </w:r>
            <w:r w:rsidRPr="002F3A64">
              <w:rPr>
                <w:rFonts w:ascii="Times New Roman" w:hAnsi="Times New Roman" w:cs="Times New Roman"/>
                <w:b/>
              </w:rPr>
              <w:t xml:space="preserve"> przedstawi</w:t>
            </w:r>
            <w:r>
              <w:rPr>
                <w:rFonts w:ascii="Times New Roman" w:hAnsi="Times New Roman" w:cs="Times New Roman"/>
                <w:b/>
              </w:rPr>
              <w:t xml:space="preserve">ająca </w:t>
            </w:r>
            <w:r w:rsidRPr="002F3A64">
              <w:rPr>
                <w:rFonts w:ascii="Times New Roman" w:hAnsi="Times New Roman" w:cs="Times New Roman"/>
                <w:b/>
              </w:rPr>
              <w:t>stanowisko/ opinię</w:t>
            </w:r>
          </w:p>
        </w:tc>
        <w:tc>
          <w:tcPr>
            <w:tcW w:w="6097" w:type="dxa"/>
            <w:shd w:val="clear" w:color="auto" w:fill="7F7F7F" w:themeFill="text1" w:themeFillTint="80"/>
            <w:vAlign w:val="center"/>
          </w:tcPr>
          <w:p w14:paraId="2211A69D" w14:textId="0276138E" w:rsidR="00730890" w:rsidRPr="002F3A64" w:rsidRDefault="00730890" w:rsidP="00580EDC">
            <w:pPr>
              <w:jc w:val="center"/>
              <w:rPr>
                <w:rFonts w:ascii="Times New Roman" w:hAnsi="Times New Roman" w:cs="Times New Roman"/>
                <w:b/>
              </w:rPr>
            </w:pPr>
            <w:r>
              <w:rPr>
                <w:rFonts w:ascii="Times New Roman" w:hAnsi="Times New Roman" w:cs="Times New Roman"/>
                <w:b/>
              </w:rPr>
              <w:t>Przedstawione s</w:t>
            </w:r>
            <w:r w:rsidRPr="002F3A64">
              <w:rPr>
                <w:rFonts w:ascii="Times New Roman" w:hAnsi="Times New Roman" w:cs="Times New Roman"/>
                <w:b/>
              </w:rPr>
              <w:t xml:space="preserve">tanowisko/opinia </w:t>
            </w:r>
          </w:p>
        </w:tc>
        <w:tc>
          <w:tcPr>
            <w:tcW w:w="5386" w:type="dxa"/>
            <w:shd w:val="clear" w:color="auto" w:fill="7F7F7F" w:themeFill="text1" w:themeFillTint="80"/>
            <w:vAlign w:val="center"/>
          </w:tcPr>
          <w:p w14:paraId="1A3195A0" w14:textId="1351FB08" w:rsidR="00730890" w:rsidRPr="002F3A64" w:rsidRDefault="00730890" w:rsidP="00580EDC">
            <w:pPr>
              <w:jc w:val="center"/>
              <w:rPr>
                <w:rFonts w:ascii="Times New Roman" w:hAnsi="Times New Roman" w:cs="Times New Roman"/>
                <w:b/>
              </w:rPr>
            </w:pPr>
            <w:r w:rsidRPr="002F3A64">
              <w:rPr>
                <w:rFonts w:ascii="Times New Roman" w:hAnsi="Times New Roman" w:cs="Times New Roman"/>
                <w:b/>
              </w:rPr>
              <w:t xml:space="preserve">Stanowisko </w:t>
            </w:r>
            <w:r>
              <w:rPr>
                <w:rFonts w:ascii="Times New Roman" w:hAnsi="Times New Roman" w:cs="Times New Roman"/>
                <w:b/>
              </w:rPr>
              <w:t>wnioskodawcy</w:t>
            </w:r>
          </w:p>
        </w:tc>
      </w:tr>
      <w:tr w:rsidR="00240ED6" w:rsidRPr="002F3A64" w14:paraId="041C35D2" w14:textId="77777777" w:rsidTr="00730890">
        <w:trPr>
          <w:trHeight w:val="567"/>
        </w:trPr>
        <w:tc>
          <w:tcPr>
            <w:tcW w:w="567" w:type="dxa"/>
          </w:tcPr>
          <w:p w14:paraId="217C1CA6" w14:textId="77777777" w:rsidR="00240ED6" w:rsidRPr="002F3A64" w:rsidRDefault="00240ED6" w:rsidP="005E2808">
            <w:pPr>
              <w:pStyle w:val="Akapitzlist"/>
              <w:numPr>
                <w:ilvl w:val="0"/>
                <w:numId w:val="2"/>
              </w:numPr>
              <w:spacing w:afterLines="200" w:after="480"/>
              <w:jc w:val="both"/>
              <w:rPr>
                <w:rFonts w:ascii="Times New Roman" w:hAnsi="Times New Roman" w:cs="Times New Roman"/>
                <w:b/>
                <w:sz w:val="20"/>
                <w:szCs w:val="20"/>
              </w:rPr>
            </w:pPr>
          </w:p>
        </w:tc>
        <w:tc>
          <w:tcPr>
            <w:tcW w:w="1134" w:type="dxa"/>
          </w:tcPr>
          <w:p w14:paraId="3163DAC1" w14:textId="0BD41EE3" w:rsidR="00240ED6" w:rsidRPr="002B3B61" w:rsidRDefault="00240ED6" w:rsidP="007A575C">
            <w:pPr>
              <w:pStyle w:val="Akapitzlist"/>
              <w:spacing w:afterLines="200" w:after="480"/>
              <w:ind w:left="0"/>
              <w:jc w:val="center"/>
              <w:rPr>
                <w:rFonts w:ascii="Times New Roman" w:hAnsi="Times New Roman" w:cs="Times New Roman"/>
                <w:sz w:val="20"/>
                <w:szCs w:val="20"/>
              </w:rPr>
            </w:pPr>
            <w:r>
              <w:rPr>
                <w:rFonts w:ascii="Times New Roman" w:hAnsi="Times New Roman" w:cs="Times New Roman"/>
                <w:sz w:val="20"/>
                <w:szCs w:val="20"/>
              </w:rPr>
              <w:t>Uwaga ogólna</w:t>
            </w:r>
          </w:p>
        </w:tc>
        <w:tc>
          <w:tcPr>
            <w:tcW w:w="1559" w:type="dxa"/>
          </w:tcPr>
          <w:p w14:paraId="5ECBFEC5" w14:textId="2E2AAD90" w:rsidR="00240ED6" w:rsidRPr="002B3B61" w:rsidRDefault="00240ED6" w:rsidP="002B3B61">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240ED6">
              <w:rPr>
                <w:rFonts w:ascii="Times New Roman" w:hAnsi="Times New Roman" w:cs="Times New Roman"/>
                <w:b/>
                <w:bCs/>
                <w:sz w:val="20"/>
                <w:szCs w:val="20"/>
              </w:rPr>
              <w:t>Prezes Urzędu Ochrony Danych Osobowych</w:t>
            </w:r>
          </w:p>
        </w:tc>
        <w:tc>
          <w:tcPr>
            <w:tcW w:w="6097" w:type="dxa"/>
          </w:tcPr>
          <w:p w14:paraId="52F9B18B" w14:textId="79AD098D" w:rsidR="00240ED6" w:rsidRPr="002B3B61" w:rsidRDefault="00240ED6" w:rsidP="002B3B61">
            <w:pPr>
              <w:autoSpaceDE w:val="0"/>
              <w:autoSpaceDN w:val="0"/>
              <w:adjustRightInd w:val="0"/>
              <w:jc w:val="both"/>
              <w:rPr>
                <w:rFonts w:ascii="Times New Roman" w:hAnsi="Times New Roman" w:cs="Times New Roman"/>
                <w:sz w:val="20"/>
                <w:szCs w:val="20"/>
              </w:rPr>
            </w:pPr>
            <w:r w:rsidRPr="00240ED6">
              <w:rPr>
                <w:rFonts w:ascii="Times New Roman" w:hAnsi="Times New Roman" w:cs="Times New Roman"/>
                <w:sz w:val="20"/>
                <w:szCs w:val="20"/>
              </w:rPr>
              <w:t>Jednocześnie ratio legis, jakim jest stworzenie podstawy prawnej do prowadzenia w systemie teleinformatycznym centralnych rejestrów pomocy publicznej, w których na dużą skalę będą przetwarzane dane osobowe beneficjentów z wykorzystaniem nowych technologii sprawia, że organ nadzorczy podtrzymuje także swoje stanowisko odnośnie do potrzeby objęcia projektu testem prywatności, w tym przeprowadzenia oceny skutków dla ochrony danych (art. 25 i 35 ust. 1 oraz ust. 10 rozporządzenia 2016/679).</w:t>
            </w:r>
          </w:p>
        </w:tc>
        <w:tc>
          <w:tcPr>
            <w:tcW w:w="5386" w:type="dxa"/>
          </w:tcPr>
          <w:p w14:paraId="7D102108" w14:textId="77777777" w:rsidR="00240ED6" w:rsidRPr="00240ED6" w:rsidRDefault="00240ED6" w:rsidP="00240ED6">
            <w:pPr>
              <w:jc w:val="both"/>
              <w:rPr>
                <w:rFonts w:ascii="Times New Roman" w:hAnsi="Times New Roman" w:cs="Times New Roman"/>
                <w:b/>
                <w:bCs/>
                <w:sz w:val="20"/>
                <w:szCs w:val="20"/>
              </w:rPr>
            </w:pPr>
            <w:r w:rsidRPr="00240ED6">
              <w:rPr>
                <w:rFonts w:ascii="Times New Roman" w:hAnsi="Times New Roman" w:cs="Times New Roman"/>
                <w:b/>
                <w:bCs/>
                <w:sz w:val="20"/>
                <w:szCs w:val="20"/>
              </w:rPr>
              <w:t>Uwaga częściowo uwzględniona</w:t>
            </w:r>
          </w:p>
          <w:p w14:paraId="501D0380" w14:textId="042BFDD7" w:rsidR="00240ED6" w:rsidRPr="00730890" w:rsidRDefault="00240ED6" w:rsidP="00240ED6">
            <w:pPr>
              <w:jc w:val="both"/>
              <w:rPr>
                <w:rFonts w:ascii="Times New Roman" w:hAnsi="Times New Roman" w:cs="Times New Roman"/>
                <w:b/>
                <w:bCs/>
                <w:sz w:val="20"/>
                <w:szCs w:val="20"/>
              </w:rPr>
            </w:pPr>
            <w:r w:rsidRPr="00240ED6">
              <w:rPr>
                <w:rFonts w:ascii="Times New Roman" w:hAnsi="Times New Roman" w:cs="Times New Roman"/>
                <w:bCs/>
                <w:sz w:val="20"/>
                <w:szCs w:val="20"/>
              </w:rPr>
              <w:t>Na etapie opracowania zmienionego projektu</w:t>
            </w:r>
            <w:r w:rsidRPr="00240ED6">
              <w:rPr>
                <w:rFonts w:ascii="Times New Roman" w:hAnsi="Times New Roman" w:cs="Times New Roman"/>
                <w:b/>
                <w:bCs/>
                <w:sz w:val="20"/>
                <w:szCs w:val="20"/>
              </w:rPr>
              <w:t xml:space="preserve"> </w:t>
            </w:r>
            <w:r w:rsidRPr="00240ED6">
              <w:rPr>
                <w:rFonts w:ascii="Times New Roman" w:hAnsi="Times New Roman" w:cs="Times New Roman"/>
                <w:bCs/>
                <w:sz w:val="20"/>
                <w:szCs w:val="20"/>
              </w:rPr>
              <w:t>przeprowadzono analizę projektu aktu prawnego w celu oceny zgodności projektu z zasadami przetwarzania danych osobowych określonymi w przepisach o ochronie danych osobowych. W jej wyniku określono zakres przetwarzania danych osobowych w regulowanych centralnych rejestrach pomocy publicznej, który pozwoli z jednej strony realizować cel utworzenia takiego rejestru, a z drugiej – zapewnić ochronę danych osobowych</w:t>
            </w:r>
            <w:r>
              <w:rPr>
                <w:rFonts w:ascii="Times New Roman" w:hAnsi="Times New Roman" w:cs="Times New Roman"/>
                <w:bCs/>
                <w:sz w:val="20"/>
                <w:szCs w:val="20"/>
              </w:rPr>
              <w:t>.</w:t>
            </w:r>
          </w:p>
        </w:tc>
      </w:tr>
      <w:tr w:rsidR="00D850F1" w:rsidRPr="002F3A64" w14:paraId="4349B936" w14:textId="77777777" w:rsidTr="00D850F1">
        <w:trPr>
          <w:trHeight w:val="1681"/>
        </w:trPr>
        <w:tc>
          <w:tcPr>
            <w:tcW w:w="567" w:type="dxa"/>
          </w:tcPr>
          <w:p w14:paraId="187EEFC2" w14:textId="77777777" w:rsidR="00D850F1" w:rsidRPr="002F3A64" w:rsidRDefault="00D850F1" w:rsidP="005E2808">
            <w:pPr>
              <w:pStyle w:val="Akapitzlist"/>
              <w:numPr>
                <w:ilvl w:val="0"/>
                <w:numId w:val="2"/>
              </w:numPr>
              <w:spacing w:afterLines="200" w:after="480"/>
              <w:jc w:val="both"/>
              <w:rPr>
                <w:rFonts w:ascii="Times New Roman" w:hAnsi="Times New Roman" w:cs="Times New Roman"/>
                <w:b/>
                <w:sz w:val="20"/>
                <w:szCs w:val="20"/>
              </w:rPr>
            </w:pPr>
          </w:p>
        </w:tc>
        <w:tc>
          <w:tcPr>
            <w:tcW w:w="1134" w:type="dxa"/>
          </w:tcPr>
          <w:p w14:paraId="58C0B3A0" w14:textId="467335A9" w:rsidR="00D850F1" w:rsidRPr="002B3B61" w:rsidRDefault="00D850F1" w:rsidP="007A575C">
            <w:pPr>
              <w:pStyle w:val="Akapitzlist"/>
              <w:spacing w:afterLines="200" w:after="480"/>
              <w:ind w:left="0"/>
              <w:jc w:val="center"/>
              <w:rPr>
                <w:rFonts w:ascii="Times New Roman" w:hAnsi="Times New Roman" w:cs="Times New Roman"/>
                <w:sz w:val="20"/>
                <w:szCs w:val="20"/>
              </w:rPr>
            </w:pPr>
            <w:r w:rsidRPr="00D850F1">
              <w:rPr>
                <w:rFonts w:ascii="Times New Roman" w:hAnsi="Times New Roman" w:cs="Times New Roman"/>
                <w:sz w:val="20"/>
                <w:szCs w:val="20"/>
              </w:rPr>
              <w:t>Art. 1 projektu – art. 39a ust. </w:t>
            </w:r>
            <w:r w:rsidR="004A6C93">
              <w:rPr>
                <w:rFonts w:ascii="Times New Roman" w:hAnsi="Times New Roman" w:cs="Times New Roman"/>
                <w:sz w:val="20"/>
                <w:szCs w:val="20"/>
              </w:rPr>
              <w:t>1</w:t>
            </w:r>
            <w:r w:rsidR="00A269B7">
              <w:rPr>
                <w:rFonts w:ascii="Times New Roman" w:hAnsi="Times New Roman" w:cs="Times New Roman"/>
                <w:sz w:val="20"/>
                <w:szCs w:val="20"/>
              </w:rPr>
              <w:t xml:space="preserve"> i 2</w:t>
            </w:r>
            <w:r w:rsidRPr="00D850F1">
              <w:rPr>
                <w:rFonts w:ascii="Times New Roman" w:hAnsi="Times New Roman" w:cs="Times New Roman"/>
                <w:sz w:val="20"/>
                <w:szCs w:val="20"/>
              </w:rPr>
              <w:t xml:space="preserve"> ustawy o postępowaniu w sprawach dotyczących pomocy publicznej (dalej</w:t>
            </w:r>
            <w:r w:rsidRPr="00D850F1">
              <w:rPr>
                <w:rFonts w:ascii="Times New Roman" w:hAnsi="Times New Roman" w:cs="Times New Roman"/>
                <w:b/>
                <w:sz w:val="20"/>
                <w:szCs w:val="20"/>
              </w:rPr>
              <w:t xml:space="preserve"> „</w:t>
            </w:r>
            <w:r w:rsidRPr="00D850F1">
              <w:rPr>
                <w:rFonts w:ascii="Times New Roman" w:hAnsi="Times New Roman" w:cs="Times New Roman"/>
                <w:sz w:val="20"/>
                <w:szCs w:val="20"/>
              </w:rPr>
              <w:t>ustawa o pomocy”</w:t>
            </w:r>
            <w:r>
              <w:rPr>
                <w:rFonts w:ascii="Times New Roman" w:hAnsi="Times New Roman" w:cs="Times New Roman"/>
                <w:sz w:val="20"/>
                <w:szCs w:val="20"/>
              </w:rPr>
              <w:t>)</w:t>
            </w:r>
          </w:p>
        </w:tc>
        <w:tc>
          <w:tcPr>
            <w:tcW w:w="1559" w:type="dxa"/>
          </w:tcPr>
          <w:p w14:paraId="29DEF30E" w14:textId="77777777" w:rsidR="00216ECE" w:rsidRPr="00216ECE" w:rsidRDefault="00216ECE" w:rsidP="00216ECE">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216ECE">
              <w:rPr>
                <w:rFonts w:ascii="Times New Roman" w:hAnsi="Times New Roman" w:cs="Times New Roman"/>
                <w:b/>
                <w:bCs/>
                <w:sz w:val="20"/>
                <w:szCs w:val="20"/>
              </w:rPr>
              <w:t>Prezes Urzędu Ochrony Konkurencji i Konsumentów</w:t>
            </w:r>
          </w:p>
          <w:p w14:paraId="73B7EC45" w14:textId="77777777" w:rsidR="00D850F1" w:rsidRPr="002B3B61" w:rsidRDefault="00D850F1" w:rsidP="00216ECE">
            <w:pPr>
              <w:pStyle w:val="Akapitzlist"/>
              <w:spacing w:afterLines="200" w:after="480"/>
              <w:ind w:left="0"/>
              <w:jc w:val="center"/>
              <w:rPr>
                <w:rFonts w:ascii="Times New Roman" w:hAnsi="Times New Roman" w:cs="Times New Roman"/>
                <w:b/>
                <w:bCs/>
                <w:sz w:val="20"/>
                <w:szCs w:val="20"/>
              </w:rPr>
            </w:pPr>
          </w:p>
        </w:tc>
        <w:tc>
          <w:tcPr>
            <w:tcW w:w="6097" w:type="dxa"/>
          </w:tcPr>
          <w:p w14:paraId="30AF72FB" w14:textId="77777777" w:rsidR="00216ECE" w:rsidRPr="00216ECE" w:rsidRDefault="00216ECE" w:rsidP="00216ECE">
            <w:pPr>
              <w:autoSpaceDE w:val="0"/>
              <w:autoSpaceDN w:val="0"/>
              <w:adjustRightInd w:val="0"/>
              <w:jc w:val="both"/>
              <w:rPr>
                <w:rFonts w:ascii="Times New Roman" w:hAnsi="Times New Roman" w:cs="Times New Roman"/>
                <w:sz w:val="20"/>
                <w:szCs w:val="20"/>
              </w:rPr>
            </w:pPr>
            <w:r w:rsidRPr="00216ECE">
              <w:rPr>
                <w:rFonts w:ascii="Times New Roman" w:hAnsi="Times New Roman" w:cs="Times New Roman"/>
                <w:sz w:val="20"/>
                <w:szCs w:val="20"/>
              </w:rPr>
              <w:t>Zakres danych wymienionych w tym przepisie nie pokrywa się z zakresem danych o pomocy de minimis, o których mowa w art. 39b ust. 1 oraz danych o pomocy publicznej, o których mowa w art. 39c ust. 1. W przepisie brakuje m.in. informacji o dniu udzielenia pomocy, wielkości beneficjenta Z tego względu proponuję poszerzenie katalogu danych gromadzonych i przetwarzanych w centralnym rejestrze o niewymienione pozycje w następujący sposób:</w:t>
            </w:r>
          </w:p>
          <w:p w14:paraId="55DAE598" w14:textId="77777777" w:rsidR="00216ECE" w:rsidRPr="00216ECE" w:rsidRDefault="00216ECE" w:rsidP="00216ECE">
            <w:pPr>
              <w:autoSpaceDE w:val="0"/>
              <w:autoSpaceDN w:val="0"/>
              <w:adjustRightInd w:val="0"/>
              <w:jc w:val="both"/>
              <w:rPr>
                <w:rFonts w:ascii="Times New Roman" w:hAnsi="Times New Roman" w:cs="Times New Roman"/>
                <w:sz w:val="20"/>
                <w:szCs w:val="20"/>
              </w:rPr>
            </w:pPr>
            <w:r w:rsidRPr="00216ECE">
              <w:rPr>
                <w:rFonts w:ascii="Times New Roman" w:hAnsi="Times New Roman" w:cs="Times New Roman"/>
                <w:sz w:val="20"/>
                <w:szCs w:val="20"/>
              </w:rPr>
              <w:t>Art. 39a. 1. Prezes Urzędu prowadzi Centralny Rejestr Pomocy Publicznej, w którym są gromadzone i przetwarzane dane o udzielonej pomocy publicznej innej niż pomoc publiczna w rolnictwie lub rybołówstwie obejmujące:</w:t>
            </w:r>
          </w:p>
          <w:p w14:paraId="49A6CCF6" w14:textId="77777777" w:rsidR="00216ECE" w:rsidRPr="00216ECE" w:rsidRDefault="00216ECE" w:rsidP="00216ECE">
            <w:pPr>
              <w:autoSpaceDE w:val="0"/>
              <w:autoSpaceDN w:val="0"/>
              <w:adjustRightInd w:val="0"/>
              <w:jc w:val="both"/>
              <w:rPr>
                <w:rFonts w:ascii="Times New Roman" w:hAnsi="Times New Roman" w:cs="Times New Roman"/>
                <w:sz w:val="20"/>
                <w:szCs w:val="20"/>
              </w:rPr>
            </w:pPr>
            <w:r w:rsidRPr="00216ECE">
              <w:rPr>
                <w:rFonts w:ascii="Times New Roman" w:hAnsi="Times New Roman" w:cs="Times New Roman"/>
                <w:sz w:val="20"/>
                <w:szCs w:val="20"/>
              </w:rPr>
              <w:t>1) dane identyfikujące beneficjenta pomocy obejmujące jego imię i nazwisko albo nazwę oraz numer identyfikacji podatkowej,</w:t>
            </w:r>
          </w:p>
          <w:p w14:paraId="1F11E3EB" w14:textId="77777777" w:rsidR="00216ECE" w:rsidRPr="00216ECE" w:rsidRDefault="00216ECE" w:rsidP="00216ECE">
            <w:pPr>
              <w:autoSpaceDE w:val="0"/>
              <w:autoSpaceDN w:val="0"/>
              <w:adjustRightInd w:val="0"/>
              <w:jc w:val="both"/>
              <w:rPr>
                <w:rFonts w:ascii="Times New Roman" w:hAnsi="Times New Roman" w:cs="Times New Roman"/>
                <w:sz w:val="20"/>
                <w:szCs w:val="20"/>
              </w:rPr>
            </w:pPr>
            <w:r w:rsidRPr="00216ECE">
              <w:rPr>
                <w:rFonts w:ascii="Times New Roman" w:hAnsi="Times New Roman" w:cs="Times New Roman"/>
                <w:sz w:val="20"/>
                <w:szCs w:val="20"/>
              </w:rPr>
              <w:t>2) klasę działalności beneficjenta, w związku z którą została udzielona pomoc,</w:t>
            </w:r>
          </w:p>
          <w:p w14:paraId="0C616D17" w14:textId="77777777" w:rsidR="00216ECE" w:rsidRPr="00216ECE" w:rsidRDefault="00216ECE" w:rsidP="00216ECE">
            <w:pPr>
              <w:autoSpaceDE w:val="0"/>
              <w:autoSpaceDN w:val="0"/>
              <w:adjustRightInd w:val="0"/>
              <w:jc w:val="both"/>
              <w:rPr>
                <w:rFonts w:ascii="Times New Roman" w:hAnsi="Times New Roman" w:cs="Times New Roman"/>
                <w:sz w:val="20"/>
                <w:szCs w:val="20"/>
              </w:rPr>
            </w:pPr>
            <w:r w:rsidRPr="00216ECE">
              <w:rPr>
                <w:rFonts w:ascii="Times New Roman" w:hAnsi="Times New Roman" w:cs="Times New Roman"/>
                <w:sz w:val="20"/>
                <w:szCs w:val="20"/>
              </w:rPr>
              <w:t>3) wielkość beneficjenta,</w:t>
            </w:r>
          </w:p>
          <w:p w14:paraId="10A2C01C" w14:textId="77777777" w:rsidR="00216ECE" w:rsidRPr="00216ECE" w:rsidRDefault="00216ECE" w:rsidP="00216ECE">
            <w:pPr>
              <w:autoSpaceDE w:val="0"/>
              <w:autoSpaceDN w:val="0"/>
              <w:adjustRightInd w:val="0"/>
              <w:jc w:val="both"/>
              <w:rPr>
                <w:rFonts w:ascii="Times New Roman" w:hAnsi="Times New Roman" w:cs="Times New Roman"/>
                <w:sz w:val="20"/>
                <w:szCs w:val="20"/>
              </w:rPr>
            </w:pPr>
            <w:r w:rsidRPr="00216ECE">
              <w:rPr>
                <w:rFonts w:ascii="Times New Roman" w:hAnsi="Times New Roman" w:cs="Times New Roman"/>
                <w:sz w:val="20"/>
                <w:szCs w:val="20"/>
              </w:rPr>
              <w:t>4) nazwę województwa, w którym beneficjent ma siedzibę lub miejsce zamieszkania,</w:t>
            </w:r>
          </w:p>
          <w:p w14:paraId="4EB0A0DA" w14:textId="77777777" w:rsidR="00216ECE" w:rsidRPr="00216ECE" w:rsidRDefault="00216ECE" w:rsidP="00216ECE">
            <w:pPr>
              <w:autoSpaceDE w:val="0"/>
              <w:autoSpaceDN w:val="0"/>
              <w:adjustRightInd w:val="0"/>
              <w:jc w:val="both"/>
              <w:rPr>
                <w:rFonts w:ascii="Times New Roman" w:hAnsi="Times New Roman" w:cs="Times New Roman"/>
                <w:sz w:val="20"/>
                <w:szCs w:val="20"/>
              </w:rPr>
            </w:pPr>
            <w:r w:rsidRPr="00216ECE">
              <w:rPr>
                <w:rFonts w:ascii="Times New Roman" w:hAnsi="Times New Roman" w:cs="Times New Roman"/>
                <w:sz w:val="20"/>
                <w:szCs w:val="20"/>
              </w:rPr>
              <w:lastRenderedPageBreak/>
              <w:t>5) informacje o rodzajach, formach, wielkości udzielonej pomocy publicznej a także o dniu udzielenia pomocy,</w:t>
            </w:r>
          </w:p>
          <w:p w14:paraId="6917AB40" w14:textId="77777777" w:rsidR="00216ECE" w:rsidRPr="00216ECE" w:rsidRDefault="00216ECE" w:rsidP="00216ECE">
            <w:pPr>
              <w:autoSpaceDE w:val="0"/>
              <w:autoSpaceDN w:val="0"/>
              <w:adjustRightInd w:val="0"/>
              <w:jc w:val="both"/>
              <w:rPr>
                <w:rFonts w:ascii="Times New Roman" w:hAnsi="Times New Roman" w:cs="Times New Roman"/>
                <w:sz w:val="20"/>
                <w:szCs w:val="20"/>
              </w:rPr>
            </w:pPr>
            <w:r w:rsidRPr="00216ECE">
              <w:rPr>
                <w:rFonts w:ascii="Times New Roman" w:hAnsi="Times New Roman" w:cs="Times New Roman"/>
                <w:sz w:val="20"/>
                <w:szCs w:val="20"/>
              </w:rPr>
              <w:t>6) w przypadku pomocy publicznej – o przeznaczeniu udzielonej pomocy i numerze środka pomocowego nadanego przez Komisję Europejską,</w:t>
            </w:r>
          </w:p>
          <w:p w14:paraId="4C11B135" w14:textId="77777777" w:rsidR="00216ECE" w:rsidRPr="00216ECE" w:rsidRDefault="00216ECE" w:rsidP="00216ECE">
            <w:pPr>
              <w:autoSpaceDE w:val="0"/>
              <w:autoSpaceDN w:val="0"/>
              <w:adjustRightInd w:val="0"/>
              <w:jc w:val="both"/>
              <w:rPr>
                <w:rFonts w:ascii="Times New Roman" w:hAnsi="Times New Roman" w:cs="Times New Roman"/>
                <w:sz w:val="20"/>
                <w:szCs w:val="20"/>
              </w:rPr>
            </w:pPr>
            <w:r w:rsidRPr="00216ECE">
              <w:rPr>
                <w:rFonts w:ascii="Times New Roman" w:hAnsi="Times New Roman" w:cs="Times New Roman"/>
                <w:sz w:val="20"/>
                <w:szCs w:val="20"/>
              </w:rPr>
              <w:t>7) w przypadku pomocy stanowiącej rekompensatę z tytułu świadczenia usług publicznych, udzielonej przedsiębiorcy, któremu powierzono świadczenie usług w ogólnym interesie gospodarczym – również okres powierzenia świadczenia usługi oraz podstawę prawną udzielenia pomocy</w:t>
            </w:r>
          </w:p>
          <w:p w14:paraId="5DC81ADD" w14:textId="77777777" w:rsidR="00216ECE" w:rsidRPr="00216ECE" w:rsidRDefault="00216ECE" w:rsidP="00216ECE">
            <w:pPr>
              <w:autoSpaceDE w:val="0"/>
              <w:autoSpaceDN w:val="0"/>
              <w:adjustRightInd w:val="0"/>
              <w:jc w:val="both"/>
              <w:rPr>
                <w:rFonts w:ascii="Times New Roman" w:hAnsi="Times New Roman" w:cs="Times New Roman"/>
                <w:sz w:val="20"/>
                <w:szCs w:val="20"/>
              </w:rPr>
            </w:pPr>
            <w:r w:rsidRPr="00216ECE">
              <w:rPr>
                <w:rFonts w:ascii="Times New Roman" w:hAnsi="Times New Roman" w:cs="Times New Roman"/>
                <w:sz w:val="20"/>
                <w:szCs w:val="20"/>
              </w:rPr>
              <w:t>– zawarte w sprawozdaniach, o których mowa w art. 32 ust. 1.</w:t>
            </w:r>
          </w:p>
          <w:p w14:paraId="60BB7D9B" w14:textId="77777777" w:rsidR="00216ECE" w:rsidRPr="00216ECE" w:rsidRDefault="00216ECE" w:rsidP="00216ECE">
            <w:pPr>
              <w:autoSpaceDE w:val="0"/>
              <w:autoSpaceDN w:val="0"/>
              <w:adjustRightInd w:val="0"/>
              <w:jc w:val="both"/>
              <w:rPr>
                <w:rFonts w:ascii="Times New Roman" w:hAnsi="Times New Roman" w:cs="Times New Roman"/>
                <w:sz w:val="20"/>
                <w:szCs w:val="20"/>
              </w:rPr>
            </w:pPr>
            <w:r w:rsidRPr="00216ECE">
              <w:rPr>
                <w:rFonts w:ascii="Times New Roman" w:hAnsi="Times New Roman" w:cs="Times New Roman"/>
                <w:sz w:val="20"/>
                <w:szCs w:val="20"/>
              </w:rPr>
              <w:t>Tak określony zakres zapewni spójność z zakresem danych udostępnianych w centralnym rejestrze zarówno w odniesieniu do pomocy de minimis, jak i do pomocy publicznej.</w:t>
            </w:r>
          </w:p>
          <w:p w14:paraId="13CE7DAD" w14:textId="77777777" w:rsidR="00216ECE" w:rsidRPr="00216ECE" w:rsidRDefault="00216ECE" w:rsidP="00216ECE">
            <w:pPr>
              <w:autoSpaceDE w:val="0"/>
              <w:autoSpaceDN w:val="0"/>
              <w:adjustRightInd w:val="0"/>
              <w:jc w:val="both"/>
              <w:rPr>
                <w:rFonts w:ascii="Times New Roman" w:hAnsi="Times New Roman" w:cs="Times New Roman"/>
                <w:sz w:val="20"/>
                <w:szCs w:val="20"/>
              </w:rPr>
            </w:pPr>
            <w:r w:rsidRPr="00216ECE">
              <w:rPr>
                <w:rFonts w:ascii="Times New Roman" w:hAnsi="Times New Roman" w:cs="Times New Roman"/>
                <w:sz w:val="20"/>
                <w:szCs w:val="20"/>
              </w:rPr>
              <w:t>Analogiczne proponuję określić zakres danych w odniesieniu do  Centralnego Rejestru Pomocy Publicznej w Rolnictwie lub Rybołówstwie, wymienionych w art. 39a ust. 2 zmienianej ustawy.</w:t>
            </w:r>
          </w:p>
          <w:p w14:paraId="73B80B92" w14:textId="77777777" w:rsidR="00216ECE" w:rsidRPr="00216ECE" w:rsidRDefault="00216ECE" w:rsidP="00216ECE">
            <w:pPr>
              <w:autoSpaceDE w:val="0"/>
              <w:autoSpaceDN w:val="0"/>
              <w:adjustRightInd w:val="0"/>
              <w:jc w:val="both"/>
              <w:rPr>
                <w:rFonts w:ascii="Times New Roman" w:hAnsi="Times New Roman" w:cs="Times New Roman"/>
                <w:sz w:val="20"/>
                <w:szCs w:val="20"/>
              </w:rPr>
            </w:pPr>
          </w:p>
          <w:p w14:paraId="76A0C2F1" w14:textId="77777777" w:rsidR="00216ECE" w:rsidRPr="00216ECE" w:rsidRDefault="00216ECE" w:rsidP="00216ECE">
            <w:pPr>
              <w:autoSpaceDE w:val="0"/>
              <w:autoSpaceDN w:val="0"/>
              <w:adjustRightInd w:val="0"/>
              <w:jc w:val="both"/>
              <w:rPr>
                <w:rFonts w:ascii="Times New Roman" w:hAnsi="Times New Roman" w:cs="Times New Roman"/>
                <w:sz w:val="20"/>
                <w:szCs w:val="20"/>
                <w:u w:val="single"/>
              </w:rPr>
            </w:pPr>
            <w:r w:rsidRPr="00216ECE">
              <w:rPr>
                <w:rFonts w:ascii="Times New Roman" w:hAnsi="Times New Roman" w:cs="Times New Roman"/>
                <w:sz w:val="20"/>
                <w:szCs w:val="20"/>
                <w:u w:val="single"/>
              </w:rPr>
              <w:t>Dodatkowe stanowisko w piśmie z dnia 16 kwietnia 2026 r.:</w:t>
            </w:r>
          </w:p>
          <w:p w14:paraId="71F00986" w14:textId="10638EC4" w:rsidR="00D850F1" w:rsidRPr="002B3B61" w:rsidRDefault="00216ECE" w:rsidP="00216ECE">
            <w:pPr>
              <w:autoSpaceDE w:val="0"/>
              <w:autoSpaceDN w:val="0"/>
              <w:adjustRightInd w:val="0"/>
              <w:jc w:val="both"/>
              <w:rPr>
                <w:rFonts w:ascii="Times New Roman" w:hAnsi="Times New Roman" w:cs="Times New Roman"/>
                <w:sz w:val="20"/>
                <w:szCs w:val="20"/>
              </w:rPr>
            </w:pPr>
            <w:r w:rsidRPr="00216ECE">
              <w:rPr>
                <w:rFonts w:ascii="Times New Roman" w:hAnsi="Times New Roman" w:cs="Times New Roman"/>
                <w:sz w:val="20"/>
                <w:szCs w:val="20"/>
              </w:rPr>
              <w:t>Zgodnie z przesłanym wyjaśnieniem ze str. 5: „Projektowane przepisy art. 39a ust. 1 i 2 ustawy o pomocy mają stanowić podstawę przetwarzania danych w rejestrach publicznych. Określony w tych przepisach zakres danych gromadzonych w centralnych rejestrach pomocy publicznej będzie obejmował – zawarte w złożonych sprawozdaniach o udzielonej pomocy…”. Należy jednak zauważyć, że w rejestrze będą udostępnianie jedynie wybrane dane ze sprawozdań. Wydaje się zatem, że zakres udostępnianych danych nie powinien zostać określony w sposób ogólny lecz w sposób szczegółowy. Przepis ogólny zobowiązuje organy do udostępniania danych w szerszym zakresie niż wymieniono w art. 39b i art. 39c, a przepis art. 39a ma właśnie ten zakres regulować. Zakres danych gromadzonych w sprawozdaniach został uregulowany w akcie wykonawczym wydanym na podstawie art. 35 ustawy zmienianej niniejszym projektem, z tego względu zasadnym byłoby, aby zakres wskazany w art. 39a pokrywał się jedynie z zakresem danych udostępnianych w rejestrach</w:t>
            </w:r>
          </w:p>
        </w:tc>
        <w:tc>
          <w:tcPr>
            <w:tcW w:w="5386" w:type="dxa"/>
          </w:tcPr>
          <w:p w14:paraId="6173625A" w14:textId="77777777" w:rsidR="00216ECE" w:rsidRPr="00216ECE" w:rsidRDefault="00216ECE" w:rsidP="00216ECE">
            <w:pPr>
              <w:jc w:val="both"/>
              <w:rPr>
                <w:rFonts w:ascii="Times New Roman" w:hAnsi="Times New Roman" w:cs="Times New Roman"/>
                <w:b/>
                <w:bCs/>
                <w:sz w:val="20"/>
                <w:szCs w:val="20"/>
              </w:rPr>
            </w:pPr>
            <w:r w:rsidRPr="00216ECE">
              <w:rPr>
                <w:rFonts w:ascii="Times New Roman" w:hAnsi="Times New Roman" w:cs="Times New Roman"/>
                <w:b/>
                <w:bCs/>
                <w:sz w:val="20"/>
                <w:szCs w:val="20"/>
              </w:rPr>
              <w:lastRenderedPageBreak/>
              <w:t>Uwaga nieuwzględniona</w:t>
            </w:r>
          </w:p>
          <w:p w14:paraId="2290F52F" w14:textId="781F2B8B" w:rsidR="00216ECE" w:rsidRPr="00216ECE" w:rsidRDefault="00216ECE" w:rsidP="00216ECE">
            <w:pPr>
              <w:jc w:val="both"/>
              <w:rPr>
                <w:rFonts w:ascii="Times New Roman" w:hAnsi="Times New Roman" w:cs="Times New Roman"/>
                <w:bCs/>
                <w:sz w:val="20"/>
                <w:szCs w:val="20"/>
              </w:rPr>
            </w:pPr>
            <w:r w:rsidRPr="00216ECE">
              <w:rPr>
                <w:rFonts w:ascii="Times New Roman" w:hAnsi="Times New Roman" w:cs="Times New Roman"/>
                <w:bCs/>
                <w:sz w:val="20"/>
                <w:szCs w:val="20"/>
              </w:rPr>
              <w:t xml:space="preserve">Projektowane przepisy art. 39a ust. 1 i 2 ustawy o pomocy mają stanowić podstawę przetwarzania danych w rejestrach publicznych. Określony w tych przepisach zakres danych gromadzonych w centralnych rejestrach pomocy publicznej będzie obejmował </w:t>
            </w:r>
            <w:r w:rsidR="002F559B">
              <w:rPr>
                <w:rFonts w:ascii="Times New Roman" w:hAnsi="Times New Roman" w:cs="Times New Roman"/>
                <w:bCs/>
                <w:sz w:val="20"/>
                <w:szCs w:val="20"/>
              </w:rPr>
              <w:t>wszystkie</w:t>
            </w:r>
            <w:r w:rsidRPr="00216ECE">
              <w:rPr>
                <w:rFonts w:ascii="Times New Roman" w:hAnsi="Times New Roman" w:cs="Times New Roman"/>
                <w:bCs/>
                <w:sz w:val="20"/>
                <w:szCs w:val="20"/>
              </w:rPr>
              <w:t xml:space="preserve"> </w:t>
            </w:r>
            <w:r w:rsidR="002F559B">
              <w:rPr>
                <w:rFonts w:ascii="Times New Roman" w:hAnsi="Times New Roman" w:cs="Times New Roman"/>
                <w:bCs/>
                <w:sz w:val="20"/>
                <w:szCs w:val="20"/>
              </w:rPr>
              <w:t xml:space="preserve">dane </w:t>
            </w:r>
            <w:r w:rsidRPr="00216ECE">
              <w:rPr>
                <w:rFonts w:ascii="Times New Roman" w:hAnsi="Times New Roman" w:cs="Times New Roman"/>
                <w:bCs/>
                <w:sz w:val="20"/>
                <w:szCs w:val="20"/>
              </w:rPr>
              <w:t>zawarte w złożonych sprawozdaniach o udzielonej pomocy</w:t>
            </w:r>
            <w:r w:rsidR="002F559B">
              <w:rPr>
                <w:rFonts w:ascii="Times New Roman" w:hAnsi="Times New Roman" w:cs="Times New Roman"/>
                <w:bCs/>
                <w:sz w:val="20"/>
                <w:szCs w:val="20"/>
              </w:rPr>
              <w:t>:</w:t>
            </w:r>
            <w:r w:rsidRPr="00216ECE">
              <w:rPr>
                <w:rFonts w:ascii="Times New Roman" w:hAnsi="Times New Roman" w:cs="Times New Roman"/>
                <w:bCs/>
                <w:sz w:val="20"/>
                <w:szCs w:val="20"/>
              </w:rPr>
              <w:t xml:space="preserve"> dane identyfikujące beneficjenta pomocy, dane o prowadzonej przez niego działalności, dane identyfikujące podmiot udzielający pomocy oraz informacje o rodzajach, formach, wielkości i przeznaczeniu udzielonej pomocy publicznej. Zakres tych danych określono w sposób odpowiadający określeniu zakresu sprawozdań w art. 32 ust. 1 i art. 32a ust. 1 ustawy o pomocy oraz określeniu zakresu informacji przedstawianych przy ubieganiu się o pomoc w art. 37 ust. 1 pkt 2, ust. 2 pkt 3 oraz ust. 5 ustawy o pomocy (informacji, które uzyskuje podmiot udzielający pomocy) – czyli w sposób ogólny, wskazujący kategorię, przedmiot gromadzonych informacji, a nie szczegółowo wskazane dane (z wyjątkiem danych</w:t>
            </w:r>
            <w:bookmarkStart w:id="0" w:name="_Hlk224752392"/>
            <w:r w:rsidRPr="00216ECE">
              <w:rPr>
                <w:rFonts w:ascii="Times New Roman" w:hAnsi="Times New Roman" w:cs="Times New Roman"/>
                <w:bCs/>
                <w:sz w:val="20"/>
                <w:szCs w:val="20"/>
              </w:rPr>
              <w:t xml:space="preserve"> identyfikujących beneficjenta pomocy</w:t>
            </w:r>
            <w:bookmarkEnd w:id="0"/>
            <w:r w:rsidRPr="00216ECE">
              <w:rPr>
                <w:rFonts w:ascii="Times New Roman" w:hAnsi="Times New Roman" w:cs="Times New Roman"/>
                <w:bCs/>
                <w:sz w:val="20"/>
                <w:szCs w:val="20"/>
              </w:rPr>
              <w:t xml:space="preserve">, które </w:t>
            </w:r>
            <w:r w:rsidRPr="00216ECE">
              <w:rPr>
                <w:rFonts w:ascii="Times New Roman" w:hAnsi="Times New Roman" w:cs="Times New Roman"/>
                <w:bCs/>
                <w:sz w:val="20"/>
                <w:szCs w:val="20"/>
              </w:rPr>
              <w:lastRenderedPageBreak/>
              <w:t>skonkretyzowano z uwagi na szczególne wymogi ochrony danych osobowych).</w:t>
            </w:r>
          </w:p>
          <w:p w14:paraId="03690308" w14:textId="64FBC9A5" w:rsidR="00D850F1" w:rsidRDefault="00216ECE" w:rsidP="00216ECE">
            <w:pPr>
              <w:jc w:val="both"/>
              <w:rPr>
                <w:rFonts w:ascii="Times New Roman" w:hAnsi="Times New Roman" w:cs="Times New Roman"/>
                <w:bCs/>
                <w:sz w:val="20"/>
                <w:szCs w:val="20"/>
              </w:rPr>
            </w:pPr>
            <w:r w:rsidRPr="00216ECE">
              <w:rPr>
                <w:rFonts w:ascii="Times New Roman" w:hAnsi="Times New Roman" w:cs="Times New Roman"/>
                <w:bCs/>
                <w:sz w:val="20"/>
                <w:szCs w:val="20"/>
              </w:rPr>
              <w:t>Natomiast zakres danych objętych obowiązkiem bądź możliwością ich publicznego udostępniania (art. 39b i art. 39c ustawy o pomocy), a zatem będących przedmiotem wyłącznie jednej z czynności wchodzących w zakres „przetwarzania” danych, został w projekcie określony w sposób szczegółowy. Zakres danych udostępnianych mieści się w ogólnie określonym zakresie danych gromadzonych w rejestrach, ale nie obejmuje całości tych danych. Zgodnie z założeniem projektu w rejestrach mają być gromadzone wszystkie dane zawarte w sprawozdaniach natomiast publicznemu udostępnianiu mają podlegać jedynie niektóre dane</w:t>
            </w:r>
            <w:r w:rsidR="00693F8F">
              <w:rPr>
                <w:rFonts w:ascii="Times New Roman" w:hAnsi="Times New Roman" w:cs="Times New Roman"/>
                <w:bCs/>
                <w:sz w:val="20"/>
                <w:szCs w:val="20"/>
              </w:rPr>
              <w:t xml:space="preserve"> szczegółowo wskazane w ustawie</w:t>
            </w:r>
            <w:r>
              <w:rPr>
                <w:rFonts w:ascii="Times New Roman" w:hAnsi="Times New Roman" w:cs="Times New Roman"/>
                <w:bCs/>
                <w:sz w:val="20"/>
                <w:szCs w:val="20"/>
              </w:rPr>
              <w:t>.</w:t>
            </w:r>
          </w:p>
          <w:p w14:paraId="20AA60A1" w14:textId="37B35878" w:rsidR="00693F8F" w:rsidRPr="00693F8F" w:rsidRDefault="00693F8F" w:rsidP="00216ECE">
            <w:pPr>
              <w:jc w:val="both"/>
              <w:rPr>
                <w:rFonts w:ascii="Times New Roman" w:hAnsi="Times New Roman" w:cs="Times New Roman"/>
                <w:bCs/>
                <w:sz w:val="20"/>
                <w:szCs w:val="20"/>
              </w:rPr>
            </w:pPr>
            <w:r w:rsidRPr="00693F8F">
              <w:rPr>
                <w:rFonts w:ascii="Times New Roman" w:hAnsi="Times New Roman" w:cs="Times New Roman"/>
                <w:bCs/>
                <w:sz w:val="20"/>
                <w:szCs w:val="20"/>
              </w:rPr>
              <w:t xml:space="preserve">W celu </w:t>
            </w:r>
            <w:r>
              <w:rPr>
                <w:rFonts w:ascii="Times New Roman" w:hAnsi="Times New Roman" w:cs="Times New Roman"/>
                <w:bCs/>
                <w:sz w:val="20"/>
                <w:szCs w:val="20"/>
              </w:rPr>
              <w:t>bardziej jednoznacznego wyrażenia powyższego rozwiązania doprecyzowano redakcję wprowadzenia do wyliczenia w art. 39a ust. 1 i art. 39c ust. 1 ustawy o pomocy.</w:t>
            </w:r>
          </w:p>
        </w:tc>
      </w:tr>
      <w:tr w:rsidR="00730890" w:rsidRPr="002F3A64" w14:paraId="5405AFDE" w14:textId="6F746A28" w:rsidTr="00730890">
        <w:trPr>
          <w:trHeight w:val="567"/>
        </w:trPr>
        <w:tc>
          <w:tcPr>
            <w:tcW w:w="567" w:type="dxa"/>
          </w:tcPr>
          <w:p w14:paraId="495E2381" w14:textId="77777777" w:rsidR="00730890" w:rsidRPr="002F3A64" w:rsidRDefault="00730890" w:rsidP="005E2808">
            <w:pPr>
              <w:pStyle w:val="Akapitzlist"/>
              <w:numPr>
                <w:ilvl w:val="0"/>
                <w:numId w:val="2"/>
              </w:numPr>
              <w:spacing w:afterLines="200" w:after="480"/>
              <w:jc w:val="both"/>
              <w:rPr>
                <w:rFonts w:ascii="Times New Roman" w:hAnsi="Times New Roman" w:cs="Times New Roman"/>
                <w:b/>
                <w:sz w:val="20"/>
                <w:szCs w:val="20"/>
              </w:rPr>
            </w:pPr>
          </w:p>
        </w:tc>
        <w:tc>
          <w:tcPr>
            <w:tcW w:w="1134" w:type="dxa"/>
          </w:tcPr>
          <w:p w14:paraId="3B84D4EB" w14:textId="7E6A8464" w:rsidR="00730890" w:rsidRPr="00ED5BC0" w:rsidRDefault="00730890" w:rsidP="007A575C">
            <w:pPr>
              <w:pStyle w:val="Akapitzlist"/>
              <w:spacing w:afterLines="200" w:after="480"/>
              <w:ind w:left="0"/>
              <w:jc w:val="center"/>
              <w:rPr>
                <w:rStyle w:val="Ppogrubienie"/>
                <w:rFonts w:ascii="Times New Roman" w:hAnsi="Times New Roman" w:cs="Times New Roman"/>
                <w:b w:val="0"/>
                <w:sz w:val="20"/>
                <w:szCs w:val="20"/>
              </w:rPr>
            </w:pPr>
            <w:r w:rsidRPr="002B3B61">
              <w:rPr>
                <w:rFonts w:ascii="Times New Roman" w:hAnsi="Times New Roman" w:cs="Times New Roman"/>
                <w:sz w:val="20"/>
                <w:szCs w:val="20"/>
              </w:rPr>
              <w:t xml:space="preserve">Art. 1 projektu – art. 39a ust. 2 </w:t>
            </w:r>
            <w:r w:rsidRPr="00730890">
              <w:rPr>
                <w:rFonts w:ascii="Times New Roman" w:hAnsi="Times New Roman" w:cs="Times New Roman"/>
                <w:sz w:val="20"/>
                <w:szCs w:val="20"/>
              </w:rPr>
              <w:t xml:space="preserve">ustawy o </w:t>
            </w:r>
            <w:r w:rsidRPr="002B3B61">
              <w:rPr>
                <w:rFonts w:ascii="Times New Roman" w:hAnsi="Times New Roman" w:cs="Times New Roman"/>
                <w:sz w:val="20"/>
                <w:szCs w:val="20"/>
              </w:rPr>
              <w:t xml:space="preserve"> pomocy</w:t>
            </w:r>
          </w:p>
        </w:tc>
        <w:tc>
          <w:tcPr>
            <w:tcW w:w="1559" w:type="dxa"/>
          </w:tcPr>
          <w:p w14:paraId="1D75B845" w14:textId="77777777" w:rsidR="00730890" w:rsidRPr="002B3B61" w:rsidRDefault="00730890" w:rsidP="002B3B61">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2B3B61">
              <w:rPr>
                <w:rFonts w:ascii="Times New Roman" w:hAnsi="Times New Roman" w:cs="Times New Roman"/>
                <w:b/>
                <w:bCs/>
                <w:sz w:val="20"/>
                <w:szCs w:val="20"/>
              </w:rPr>
              <w:t>Prezes Kasy Rolniczego Ubezpieczenia Społecznego</w:t>
            </w:r>
          </w:p>
          <w:p w14:paraId="71E91907" w14:textId="5639D697" w:rsidR="00730890" w:rsidRDefault="00730890" w:rsidP="007A575C">
            <w:pPr>
              <w:pStyle w:val="Akapitzlist"/>
              <w:tabs>
                <w:tab w:val="left" w:pos="188"/>
                <w:tab w:val="center" w:pos="742"/>
              </w:tabs>
              <w:spacing w:afterLines="200" w:after="480"/>
              <w:ind w:left="0"/>
              <w:jc w:val="center"/>
              <w:rPr>
                <w:rFonts w:ascii="Times New Roman" w:hAnsi="Times New Roman" w:cs="Times New Roman"/>
                <w:b/>
                <w:sz w:val="20"/>
                <w:szCs w:val="20"/>
              </w:rPr>
            </w:pPr>
          </w:p>
        </w:tc>
        <w:tc>
          <w:tcPr>
            <w:tcW w:w="6097" w:type="dxa"/>
          </w:tcPr>
          <w:p w14:paraId="404695F8" w14:textId="77777777" w:rsidR="00730890" w:rsidRPr="002B3B61" w:rsidRDefault="00730890" w:rsidP="002B3B61">
            <w:pPr>
              <w:autoSpaceDE w:val="0"/>
              <w:autoSpaceDN w:val="0"/>
              <w:adjustRightInd w:val="0"/>
              <w:jc w:val="both"/>
              <w:rPr>
                <w:rFonts w:ascii="Times New Roman" w:hAnsi="Times New Roman" w:cs="Times New Roman"/>
                <w:sz w:val="20"/>
                <w:szCs w:val="20"/>
              </w:rPr>
            </w:pPr>
            <w:r w:rsidRPr="002B3B61">
              <w:rPr>
                <w:rFonts w:ascii="Times New Roman" w:hAnsi="Times New Roman" w:cs="Times New Roman"/>
                <w:sz w:val="20"/>
                <w:szCs w:val="20"/>
              </w:rPr>
              <w:lastRenderedPageBreak/>
              <w:t xml:space="preserve">Zgodnie art. 39a ust. 2 pkt 1 ustawy z dnia 30 kwietnia 2004 r. o postępowaniu w sprawach dotyczących pomocy publicznej, dodanym w art. 1 w pkt 3 projektu ustawy, minister właściwy do spraw rolnictwa prowadzi Centralny Rejestr Pomocy Publicznej w Rolnictwie i Rybołówstwie, w którym gromadzi i przetwarza informacje w zakresie </w:t>
            </w:r>
            <w:r w:rsidRPr="002B3B61">
              <w:rPr>
                <w:rFonts w:ascii="Times New Roman" w:hAnsi="Times New Roman" w:cs="Times New Roman"/>
                <w:sz w:val="20"/>
                <w:szCs w:val="20"/>
              </w:rPr>
              <w:lastRenderedPageBreak/>
              <w:t>danych identyfikujących beneficjenta pomocy, w tym jego numer identyfikacji podatkowej (NIP).</w:t>
            </w:r>
          </w:p>
          <w:p w14:paraId="6EF41B90" w14:textId="77777777" w:rsidR="00730890" w:rsidRPr="002B3B61" w:rsidRDefault="00730890" w:rsidP="002B3B61">
            <w:pPr>
              <w:autoSpaceDE w:val="0"/>
              <w:autoSpaceDN w:val="0"/>
              <w:adjustRightInd w:val="0"/>
              <w:jc w:val="both"/>
              <w:rPr>
                <w:rFonts w:ascii="Times New Roman" w:hAnsi="Times New Roman" w:cs="Times New Roman"/>
                <w:sz w:val="20"/>
                <w:szCs w:val="20"/>
              </w:rPr>
            </w:pPr>
            <w:r w:rsidRPr="002B3B61">
              <w:rPr>
                <w:rFonts w:ascii="Times New Roman" w:hAnsi="Times New Roman" w:cs="Times New Roman"/>
                <w:sz w:val="20"/>
                <w:szCs w:val="20"/>
              </w:rPr>
              <w:t>Jednocześnie wskazanie numeru NIP beneficjenta pomocy nie jest warunkowe, co w ocenie Kasy, może oznaczać, że są to dane bezwzględnie wymagane (poprzednio opiniowany projekt ustawy z dnia 15 grudnia 2025 r. określał, iż alternatywnie wobec numeru identyfikacji podatkowej beneficjenta pomocy możliwe było podanie numeru PESEL).</w:t>
            </w:r>
          </w:p>
          <w:p w14:paraId="25D266AA" w14:textId="77777777" w:rsidR="00730890" w:rsidRPr="002B3B61" w:rsidRDefault="00730890" w:rsidP="002B3B61">
            <w:pPr>
              <w:autoSpaceDE w:val="0"/>
              <w:autoSpaceDN w:val="0"/>
              <w:adjustRightInd w:val="0"/>
              <w:jc w:val="both"/>
              <w:rPr>
                <w:rFonts w:ascii="Times New Roman" w:hAnsi="Times New Roman" w:cs="Times New Roman"/>
                <w:sz w:val="20"/>
                <w:szCs w:val="20"/>
              </w:rPr>
            </w:pPr>
            <w:r w:rsidRPr="002B3B61">
              <w:rPr>
                <w:rFonts w:ascii="Times New Roman" w:hAnsi="Times New Roman" w:cs="Times New Roman"/>
                <w:sz w:val="20"/>
                <w:szCs w:val="20"/>
              </w:rPr>
              <w:t>Nie wszyscy rolnicy będący osobami fizycznymi prowadzącymi działalność rolniczą posiadają numer identyfikacji podatkowej. Obowiązek taki nie dotyczy np. rolników ryczałtowych, tj. korzystających ze zwolnienia z podatku VAT, o ile nie są płatnikami składek do ZUS czy też rolników, którzy nie prowadzą pozarolniczej działalności gospodarczej. Należy przy tym zauważyć, że w rozliczeniach z organami podatkowymi, tożsamość podatkowa osób, które nie mają obowiązku posiadania numeru NIP, jest ustalana na podstawie numeru PESEL.</w:t>
            </w:r>
          </w:p>
          <w:p w14:paraId="13B94B45" w14:textId="77777777" w:rsidR="00730890" w:rsidRPr="002B3B61" w:rsidRDefault="00730890" w:rsidP="002B3B61">
            <w:pPr>
              <w:autoSpaceDE w:val="0"/>
              <w:autoSpaceDN w:val="0"/>
              <w:adjustRightInd w:val="0"/>
              <w:jc w:val="both"/>
              <w:rPr>
                <w:rFonts w:ascii="Times New Roman" w:hAnsi="Times New Roman" w:cs="Times New Roman"/>
                <w:sz w:val="20"/>
                <w:szCs w:val="20"/>
              </w:rPr>
            </w:pPr>
            <w:r w:rsidRPr="002B3B61">
              <w:rPr>
                <w:rFonts w:ascii="Times New Roman" w:hAnsi="Times New Roman" w:cs="Times New Roman"/>
                <w:sz w:val="20"/>
                <w:szCs w:val="20"/>
              </w:rPr>
              <w:t xml:space="preserve">Wobec powyższego, zdaniem Kasy, projektowany przepis powinien wskazywać, że podstawową daną identyfikującą beneficjentów pomocy jest numer PESEL, zaś numer NIP – daną alternatywną (o ile osoba posiada numer NIP). </w:t>
            </w:r>
          </w:p>
          <w:p w14:paraId="167223B2" w14:textId="1B62F1C3" w:rsidR="00730890" w:rsidRPr="009317A1" w:rsidRDefault="00730890" w:rsidP="009317A1">
            <w:pPr>
              <w:autoSpaceDE w:val="0"/>
              <w:autoSpaceDN w:val="0"/>
              <w:adjustRightInd w:val="0"/>
              <w:jc w:val="both"/>
              <w:rPr>
                <w:rFonts w:ascii="Times New Roman" w:hAnsi="Times New Roman" w:cs="Times New Roman"/>
                <w:sz w:val="20"/>
                <w:szCs w:val="20"/>
              </w:rPr>
            </w:pPr>
            <w:r w:rsidRPr="002B3B61">
              <w:rPr>
                <w:rFonts w:ascii="Times New Roman" w:hAnsi="Times New Roman" w:cs="Times New Roman"/>
                <w:sz w:val="20"/>
                <w:szCs w:val="20"/>
              </w:rPr>
              <w:t>Zmiany w zakresie opcjonalnego wskazywania numeru NIP w odniesieniu do numeru PESEL, jako podstawowego identyfikatora beneficjentów pomocy, powinny być odpowiednio uwzględnione w projektowanych przepisach art. 39b w ust. 2 oraz art. 39c w ust. 1 ustawy zmienianej w art. 1 przedmiotowego projektu ustawy</w:t>
            </w:r>
            <w:r>
              <w:rPr>
                <w:rFonts w:ascii="Times New Roman" w:hAnsi="Times New Roman" w:cs="Times New Roman"/>
                <w:sz w:val="20"/>
                <w:szCs w:val="20"/>
              </w:rPr>
              <w:t>.</w:t>
            </w:r>
          </w:p>
        </w:tc>
        <w:tc>
          <w:tcPr>
            <w:tcW w:w="5386" w:type="dxa"/>
          </w:tcPr>
          <w:p w14:paraId="4C32A01D" w14:textId="1F96446B" w:rsidR="00730890" w:rsidRPr="00730890" w:rsidRDefault="00730890" w:rsidP="00730890">
            <w:pPr>
              <w:jc w:val="both"/>
              <w:rPr>
                <w:rFonts w:ascii="Times New Roman" w:hAnsi="Times New Roman" w:cs="Times New Roman"/>
                <w:b/>
                <w:bCs/>
                <w:sz w:val="20"/>
                <w:szCs w:val="20"/>
              </w:rPr>
            </w:pPr>
            <w:r w:rsidRPr="00730890">
              <w:rPr>
                <w:rFonts w:ascii="Times New Roman" w:hAnsi="Times New Roman" w:cs="Times New Roman"/>
                <w:b/>
                <w:bCs/>
                <w:sz w:val="20"/>
                <w:szCs w:val="20"/>
              </w:rPr>
              <w:lastRenderedPageBreak/>
              <w:t xml:space="preserve">Uwaga </w:t>
            </w:r>
            <w:r w:rsidR="00A735D4">
              <w:rPr>
                <w:rFonts w:ascii="Times New Roman" w:hAnsi="Times New Roman" w:cs="Times New Roman"/>
                <w:b/>
                <w:bCs/>
                <w:sz w:val="20"/>
                <w:szCs w:val="20"/>
              </w:rPr>
              <w:t>nieuwzględniona</w:t>
            </w:r>
          </w:p>
          <w:p w14:paraId="33D02AC6" w14:textId="61B8DAAA" w:rsidR="00730890" w:rsidRPr="00730890" w:rsidRDefault="00730890" w:rsidP="00730890">
            <w:pPr>
              <w:jc w:val="both"/>
              <w:rPr>
                <w:rFonts w:ascii="Times New Roman" w:hAnsi="Times New Roman" w:cs="Times New Roman"/>
                <w:bCs/>
                <w:sz w:val="20"/>
                <w:szCs w:val="20"/>
              </w:rPr>
            </w:pPr>
            <w:r w:rsidRPr="00730890">
              <w:rPr>
                <w:rFonts w:ascii="Times New Roman" w:hAnsi="Times New Roman" w:cs="Times New Roman"/>
                <w:bCs/>
                <w:sz w:val="20"/>
                <w:szCs w:val="20"/>
              </w:rPr>
              <w:t>Dodawany art. 39a ust. 2 pkt 1 ustawy o pomocy stanowi podstawę przetwarzania danych osobowych w regulowanym rejestrze publicznym, zatem określa także rodzaj (zakres) tych danych, których przetwarzanie jest dopuszczalne</w:t>
            </w:r>
            <w:r w:rsidR="00B14212">
              <w:rPr>
                <w:rFonts w:ascii="Times New Roman" w:hAnsi="Times New Roman" w:cs="Times New Roman"/>
                <w:bCs/>
                <w:sz w:val="20"/>
                <w:szCs w:val="20"/>
              </w:rPr>
              <w:t>.</w:t>
            </w:r>
            <w:r w:rsidRPr="00730890">
              <w:rPr>
                <w:rFonts w:ascii="Times New Roman" w:hAnsi="Times New Roman" w:cs="Times New Roman"/>
                <w:bCs/>
                <w:sz w:val="20"/>
                <w:szCs w:val="20"/>
              </w:rPr>
              <w:t xml:space="preserve"> </w:t>
            </w:r>
            <w:r w:rsidR="00B14212">
              <w:rPr>
                <w:rFonts w:ascii="Times New Roman" w:hAnsi="Times New Roman" w:cs="Times New Roman"/>
                <w:bCs/>
                <w:sz w:val="20"/>
                <w:szCs w:val="20"/>
              </w:rPr>
              <w:t>Określenie tego zakresu następuje</w:t>
            </w:r>
            <w:r w:rsidRPr="00730890">
              <w:rPr>
                <w:rFonts w:ascii="Times New Roman" w:hAnsi="Times New Roman" w:cs="Times New Roman"/>
                <w:bCs/>
                <w:sz w:val="20"/>
                <w:szCs w:val="20"/>
              </w:rPr>
              <w:t xml:space="preserve"> nie tylko w wyliczeniu zawartym w </w:t>
            </w:r>
            <w:r w:rsidRPr="00730890">
              <w:rPr>
                <w:rFonts w:ascii="Times New Roman" w:hAnsi="Times New Roman" w:cs="Times New Roman"/>
                <w:bCs/>
                <w:sz w:val="20"/>
                <w:szCs w:val="20"/>
              </w:rPr>
              <w:lastRenderedPageBreak/>
              <w:t>art.</w:t>
            </w:r>
            <w:r w:rsidR="00B14212">
              <w:rPr>
                <w:rFonts w:ascii="Times New Roman" w:hAnsi="Times New Roman" w:cs="Times New Roman"/>
                <w:bCs/>
                <w:sz w:val="20"/>
                <w:szCs w:val="20"/>
              </w:rPr>
              <w:t> </w:t>
            </w:r>
            <w:r w:rsidRPr="00730890">
              <w:rPr>
                <w:rFonts w:ascii="Times New Roman" w:hAnsi="Times New Roman" w:cs="Times New Roman"/>
                <w:bCs/>
                <w:sz w:val="20"/>
                <w:szCs w:val="20"/>
              </w:rPr>
              <w:t xml:space="preserve">39a ust. 2 ustawy o pomocy (pkt 1–4), ale także w części wspólnej tego wyliczenia: „zawarte w sprawozdaniach, o których mowa w art. 32a ust. 1”. O tym, które konkretnie – spośród objętych wyliczeniem – dane zostaną zgromadzone w Rejestrze decyduje wymagana zawartość </w:t>
            </w:r>
            <w:r w:rsidR="00B14212">
              <w:rPr>
                <w:rFonts w:ascii="Times New Roman" w:hAnsi="Times New Roman" w:cs="Times New Roman"/>
                <w:bCs/>
                <w:sz w:val="20"/>
                <w:szCs w:val="20"/>
              </w:rPr>
              <w:t xml:space="preserve">konkretnych </w:t>
            </w:r>
            <w:r w:rsidRPr="00730890">
              <w:rPr>
                <w:rFonts w:ascii="Times New Roman" w:hAnsi="Times New Roman" w:cs="Times New Roman"/>
                <w:bCs/>
                <w:sz w:val="20"/>
                <w:szCs w:val="20"/>
              </w:rPr>
              <w:t xml:space="preserve">sprawozdań o udzielonej pomocy. Art. 39a ust. 2 pkt 1 ustawy o pomocy stanowi ogólną podstawę do przetwarzania w Rejestrze każdej z tych danych – o ile zostanie zawarta w </w:t>
            </w:r>
            <w:r w:rsidR="00B14212">
              <w:rPr>
                <w:rFonts w:ascii="Times New Roman" w:hAnsi="Times New Roman" w:cs="Times New Roman"/>
                <w:bCs/>
                <w:sz w:val="20"/>
                <w:szCs w:val="20"/>
              </w:rPr>
              <w:t xml:space="preserve">konkretnym </w:t>
            </w:r>
            <w:r w:rsidRPr="00730890">
              <w:rPr>
                <w:rFonts w:ascii="Times New Roman" w:hAnsi="Times New Roman" w:cs="Times New Roman"/>
                <w:bCs/>
                <w:sz w:val="20"/>
                <w:szCs w:val="20"/>
              </w:rPr>
              <w:t>sprawozdaniu. Projekt nie rozstrzyga kwestii sposobu identyfikowania beneficjenta pomocy i nie obejmuje zmian w systemie sprawozdawczości pomocy publicznej, w szczególności nie wprowadza wymogu podawania w sprawozdaniach jakiegokolwiek identyfikatora – wymagany zakres sprawozdań określają przepisy art. 32 ust. 1 i art. 32a ust. 1 ustawy (które nie są objęte projektem) oraz stosowne akty wykonawcze</w:t>
            </w:r>
            <w:r>
              <w:rPr>
                <w:rFonts w:ascii="Times New Roman" w:hAnsi="Times New Roman" w:cs="Times New Roman"/>
                <w:bCs/>
                <w:sz w:val="20"/>
                <w:szCs w:val="20"/>
              </w:rPr>
              <w:t>.</w:t>
            </w:r>
          </w:p>
        </w:tc>
      </w:tr>
      <w:tr w:rsidR="00216ECE" w:rsidRPr="002F3A64" w14:paraId="17B8EFE7" w14:textId="77777777" w:rsidTr="00730890">
        <w:trPr>
          <w:trHeight w:val="567"/>
        </w:trPr>
        <w:tc>
          <w:tcPr>
            <w:tcW w:w="567" w:type="dxa"/>
          </w:tcPr>
          <w:p w14:paraId="7DC27AF1" w14:textId="77777777" w:rsidR="00216ECE" w:rsidRPr="002F3A64" w:rsidRDefault="00216ECE" w:rsidP="005E2808">
            <w:pPr>
              <w:pStyle w:val="Akapitzlist"/>
              <w:numPr>
                <w:ilvl w:val="0"/>
                <w:numId w:val="2"/>
              </w:numPr>
              <w:spacing w:afterLines="200" w:after="480"/>
              <w:jc w:val="both"/>
              <w:rPr>
                <w:rFonts w:ascii="Times New Roman" w:hAnsi="Times New Roman" w:cs="Times New Roman"/>
                <w:b/>
                <w:sz w:val="20"/>
                <w:szCs w:val="20"/>
              </w:rPr>
            </w:pPr>
          </w:p>
        </w:tc>
        <w:tc>
          <w:tcPr>
            <w:tcW w:w="1134" w:type="dxa"/>
          </w:tcPr>
          <w:p w14:paraId="28F36A5C" w14:textId="59A07180" w:rsidR="00216ECE" w:rsidRPr="002B3B61" w:rsidRDefault="00216ECE" w:rsidP="007A575C">
            <w:pPr>
              <w:pStyle w:val="Akapitzlist"/>
              <w:spacing w:afterLines="200" w:after="480"/>
              <w:ind w:left="0"/>
              <w:jc w:val="center"/>
              <w:rPr>
                <w:rFonts w:ascii="Times New Roman" w:hAnsi="Times New Roman" w:cs="Times New Roman"/>
                <w:sz w:val="20"/>
                <w:szCs w:val="20"/>
              </w:rPr>
            </w:pPr>
            <w:r w:rsidRPr="00216ECE">
              <w:rPr>
                <w:rFonts w:ascii="Times New Roman" w:hAnsi="Times New Roman" w:cs="Times New Roman"/>
                <w:sz w:val="20"/>
                <w:szCs w:val="20"/>
              </w:rPr>
              <w:t>Art. 1 projektu – art. 39b ust. 4 ustawy o pomocy</w:t>
            </w:r>
          </w:p>
        </w:tc>
        <w:tc>
          <w:tcPr>
            <w:tcW w:w="1559" w:type="dxa"/>
          </w:tcPr>
          <w:p w14:paraId="35FF8A60" w14:textId="77777777" w:rsidR="00216ECE" w:rsidRPr="00216ECE" w:rsidRDefault="00216ECE" w:rsidP="00216ECE">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216ECE">
              <w:rPr>
                <w:rFonts w:ascii="Times New Roman" w:hAnsi="Times New Roman" w:cs="Times New Roman"/>
                <w:b/>
                <w:bCs/>
                <w:sz w:val="20"/>
                <w:szCs w:val="20"/>
              </w:rPr>
              <w:t>Prezes Urzędu Ochrony Konkurencji i Konsumentów</w:t>
            </w:r>
          </w:p>
          <w:p w14:paraId="1D441A2D" w14:textId="77777777" w:rsidR="00216ECE" w:rsidRPr="002B3B61" w:rsidRDefault="00216ECE" w:rsidP="002B3B61">
            <w:pPr>
              <w:pStyle w:val="Akapitzlist"/>
              <w:tabs>
                <w:tab w:val="left" w:pos="188"/>
                <w:tab w:val="center" w:pos="742"/>
              </w:tabs>
              <w:spacing w:afterLines="200" w:after="480"/>
              <w:ind w:left="0"/>
              <w:jc w:val="center"/>
              <w:rPr>
                <w:rFonts w:ascii="Times New Roman" w:hAnsi="Times New Roman" w:cs="Times New Roman"/>
                <w:b/>
                <w:bCs/>
                <w:sz w:val="20"/>
                <w:szCs w:val="20"/>
              </w:rPr>
            </w:pPr>
          </w:p>
        </w:tc>
        <w:tc>
          <w:tcPr>
            <w:tcW w:w="6097" w:type="dxa"/>
          </w:tcPr>
          <w:p w14:paraId="198AD608" w14:textId="77777777" w:rsidR="00216ECE" w:rsidRPr="00216ECE" w:rsidRDefault="00216ECE" w:rsidP="00216ECE">
            <w:pPr>
              <w:autoSpaceDE w:val="0"/>
              <w:autoSpaceDN w:val="0"/>
              <w:adjustRightInd w:val="0"/>
              <w:jc w:val="both"/>
              <w:rPr>
                <w:rFonts w:ascii="Times New Roman" w:hAnsi="Times New Roman" w:cs="Times New Roman"/>
                <w:sz w:val="20"/>
                <w:szCs w:val="20"/>
              </w:rPr>
            </w:pPr>
            <w:r w:rsidRPr="00216ECE">
              <w:rPr>
                <w:rFonts w:ascii="Times New Roman" w:hAnsi="Times New Roman" w:cs="Times New Roman"/>
                <w:sz w:val="20"/>
                <w:szCs w:val="20"/>
              </w:rPr>
              <w:t>Zgodnie z projektowanym art. 39b ust. 3, „w przypadku wskazania beneficjenta pomocy przez podanie numeru ewidencyjnego powszechnego elektronicznego systemu ewidencji ludności, numeru dowodu osobistego lub numeru paszportu zakres udostępnianych danych nie obejmuje imienia i nazwiska beneficjenta pomocy”. Jednocześnie w proponowanym art. 39b ust. 4 określono, że „przepisu ust. 3 nie stosuje się w przypadku udostępniania danych określonych w ust. 1 podmiotowi udzielającemu pomocy uwierzytelnionemu danymi dostępu odpowiednio do aplikacji SHRIMP albo do aplikacji SRPP”.</w:t>
            </w:r>
          </w:p>
          <w:p w14:paraId="7E41BC81" w14:textId="77777777" w:rsidR="00216ECE" w:rsidRPr="00216ECE" w:rsidRDefault="00216ECE" w:rsidP="00216ECE">
            <w:pPr>
              <w:autoSpaceDE w:val="0"/>
              <w:autoSpaceDN w:val="0"/>
              <w:adjustRightInd w:val="0"/>
              <w:jc w:val="both"/>
              <w:rPr>
                <w:rFonts w:ascii="Times New Roman" w:hAnsi="Times New Roman" w:cs="Times New Roman"/>
                <w:sz w:val="20"/>
                <w:szCs w:val="20"/>
              </w:rPr>
            </w:pPr>
            <w:r w:rsidRPr="00216ECE">
              <w:rPr>
                <w:rFonts w:ascii="Times New Roman" w:hAnsi="Times New Roman" w:cs="Times New Roman"/>
                <w:sz w:val="20"/>
                <w:szCs w:val="20"/>
              </w:rPr>
              <w:t xml:space="preserve">W związku z powyższym, pragnę wyjaśnić, że dane, o których mowa ust. 3 (numer PESEL, dowodu osobistego lub paszportu) nie są gromadzone w systemie SHRIMP, a zatem przepis ust. 3 nigdy nie będzie miał zastosowania do podmiotów udzielających pomocy uwierzytelnionych danymi w ramach dostępu do aplikacji SHRIMP. W związku z tym, </w:t>
            </w:r>
            <w:r w:rsidRPr="00216ECE">
              <w:rPr>
                <w:rFonts w:ascii="Times New Roman" w:hAnsi="Times New Roman" w:cs="Times New Roman"/>
                <w:sz w:val="20"/>
                <w:szCs w:val="20"/>
              </w:rPr>
              <w:lastRenderedPageBreak/>
              <w:t>proponujemy wykreślić z ust. 4 sformułowanie: „odpowiednio do aplikacji SHRIMP albo”.</w:t>
            </w:r>
          </w:p>
          <w:p w14:paraId="3AE9ABA2" w14:textId="77777777" w:rsidR="00216ECE" w:rsidRPr="00216ECE" w:rsidRDefault="00216ECE" w:rsidP="00216ECE">
            <w:pPr>
              <w:autoSpaceDE w:val="0"/>
              <w:autoSpaceDN w:val="0"/>
              <w:adjustRightInd w:val="0"/>
              <w:jc w:val="both"/>
              <w:rPr>
                <w:rFonts w:ascii="Times New Roman" w:hAnsi="Times New Roman" w:cs="Times New Roman"/>
                <w:sz w:val="20"/>
                <w:szCs w:val="20"/>
              </w:rPr>
            </w:pPr>
          </w:p>
          <w:p w14:paraId="316A289D" w14:textId="77777777" w:rsidR="00216ECE" w:rsidRPr="00216ECE" w:rsidRDefault="00216ECE" w:rsidP="00216ECE">
            <w:pPr>
              <w:autoSpaceDE w:val="0"/>
              <w:autoSpaceDN w:val="0"/>
              <w:adjustRightInd w:val="0"/>
              <w:jc w:val="both"/>
              <w:rPr>
                <w:rFonts w:ascii="Times New Roman" w:hAnsi="Times New Roman" w:cs="Times New Roman"/>
                <w:sz w:val="20"/>
                <w:szCs w:val="20"/>
                <w:u w:val="single"/>
              </w:rPr>
            </w:pPr>
            <w:r w:rsidRPr="00216ECE">
              <w:rPr>
                <w:rFonts w:ascii="Times New Roman" w:hAnsi="Times New Roman" w:cs="Times New Roman"/>
                <w:sz w:val="20"/>
                <w:szCs w:val="20"/>
                <w:u w:val="single"/>
              </w:rPr>
              <w:t>Dodatkowe stanowisko w piśmie z dnia 16 kwietnia 2026 r.:</w:t>
            </w:r>
          </w:p>
          <w:p w14:paraId="58ACE027" w14:textId="50A4E2CE" w:rsidR="00216ECE" w:rsidRPr="002B3B61" w:rsidRDefault="00216ECE" w:rsidP="00216ECE">
            <w:pPr>
              <w:autoSpaceDE w:val="0"/>
              <w:autoSpaceDN w:val="0"/>
              <w:adjustRightInd w:val="0"/>
              <w:jc w:val="both"/>
              <w:rPr>
                <w:rFonts w:ascii="Times New Roman" w:hAnsi="Times New Roman" w:cs="Times New Roman"/>
                <w:sz w:val="20"/>
                <w:szCs w:val="20"/>
              </w:rPr>
            </w:pPr>
            <w:r w:rsidRPr="00216ECE">
              <w:rPr>
                <w:rFonts w:ascii="Times New Roman" w:hAnsi="Times New Roman" w:cs="Times New Roman"/>
                <w:sz w:val="20"/>
                <w:szCs w:val="20"/>
              </w:rPr>
              <w:t>Mając na uwadze rozwiązanie przedstawione w punkcie 1 niniejszego pisma, dzięki któremu w aplikacji SHRIMP nie będą przetwarzane: numer ewidencyjny powszechnego elektronicznego systemu ewidencji ludności, numer dowodu osobistego lub numer paszportu beneficjenta, podtrzymuję propozycję wykreślenia z ust. 4 sformułowania: „odpowiednio do aplikacji SHRIMP albo”. Jedynie bowiem do danych podmiotów wnioskujących o pomoc w rolnictwie lub rybołówstwie może być podawany inny identyfikator niż NIP. Wyszukiwanie danych w rejestrze pomocy prowadzonym przez Prezesa UOKiK odbywa się i będzie się odbywać wyłącznie za pośrednictwem NIP-u, nawet w przypadku „komunikowania się” obu systemów. Podanie innego identyfikatora nie spowoduje uzyskania jakichkolwiek danych, bowiem ani w formularzu informacji składanym przy ubieganiu się o pomoc inną niż pomoc w rolnictwie i rybołówstwie, ani w sprawozdaniu o udzielonej pomocy, te pozostałe identyfikatory nie występują.</w:t>
            </w:r>
          </w:p>
        </w:tc>
        <w:tc>
          <w:tcPr>
            <w:tcW w:w="5386" w:type="dxa"/>
          </w:tcPr>
          <w:p w14:paraId="771A04F4" w14:textId="77777777" w:rsidR="00216ECE" w:rsidRPr="00216ECE" w:rsidRDefault="00216ECE" w:rsidP="00216ECE">
            <w:pPr>
              <w:jc w:val="both"/>
              <w:rPr>
                <w:rFonts w:ascii="Times New Roman" w:hAnsi="Times New Roman" w:cs="Times New Roman"/>
                <w:b/>
                <w:bCs/>
                <w:sz w:val="20"/>
                <w:szCs w:val="20"/>
              </w:rPr>
            </w:pPr>
            <w:r w:rsidRPr="00216ECE">
              <w:rPr>
                <w:rFonts w:ascii="Times New Roman" w:hAnsi="Times New Roman" w:cs="Times New Roman"/>
                <w:b/>
                <w:bCs/>
                <w:sz w:val="20"/>
                <w:szCs w:val="20"/>
              </w:rPr>
              <w:lastRenderedPageBreak/>
              <w:t>Uwaga nieuwzględniona</w:t>
            </w:r>
          </w:p>
          <w:p w14:paraId="3C3CF4CF" w14:textId="0BA98E38" w:rsidR="00216ECE" w:rsidRPr="00216ECE" w:rsidRDefault="00216ECE" w:rsidP="00216ECE">
            <w:pPr>
              <w:jc w:val="both"/>
              <w:rPr>
                <w:rFonts w:ascii="Times New Roman" w:hAnsi="Times New Roman" w:cs="Times New Roman"/>
                <w:bCs/>
                <w:sz w:val="20"/>
                <w:szCs w:val="20"/>
              </w:rPr>
            </w:pPr>
            <w:r w:rsidRPr="00216ECE">
              <w:rPr>
                <w:rFonts w:ascii="Times New Roman" w:hAnsi="Times New Roman" w:cs="Times New Roman"/>
                <w:bCs/>
                <w:sz w:val="20"/>
                <w:szCs w:val="20"/>
              </w:rPr>
              <w:t xml:space="preserve">Odniesienie się w treści art. 39b ust. 4 ustawy o pomocy do uwierzytelnienia podmiotu udzielającego pomocy danymi dostępu do aplikacji SHRIMP jest konsekwencją przyjętego rozwiązania przewidującego możliwość wykorzystania posiadanych przez taki podmiot danych dostępowych do aplikacji SHRIMP (które zapewnią jego uwierzytelnienie jako podmiotu udzielającego pomocy), a w konsekwencji – pośrednictwo tej aplikacji, do rozpoczęcia wyszukiwania danych w wyszukiwarce również Centralnego Rejestru Pomocy Publicznej w Rolnictwie lub Rybołówstwie (której wskazane kryterium wyszukiwania dotyczy). </w:t>
            </w:r>
          </w:p>
          <w:p w14:paraId="7B200DA8" w14:textId="09887FE5" w:rsidR="00216ECE" w:rsidRPr="00730890" w:rsidRDefault="00216ECE" w:rsidP="00216ECE">
            <w:pPr>
              <w:jc w:val="both"/>
              <w:rPr>
                <w:rFonts w:ascii="Times New Roman" w:hAnsi="Times New Roman" w:cs="Times New Roman"/>
                <w:b/>
                <w:bCs/>
                <w:sz w:val="20"/>
                <w:szCs w:val="20"/>
              </w:rPr>
            </w:pPr>
            <w:r w:rsidRPr="00216ECE">
              <w:rPr>
                <w:rFonts w:ascii="Times New Roman" w:hAnsi="Times New Roman" w:cs="Times New Roman"/>
                <w:bCs/>
                <w:sz w:val="20"/>
                <w:szCs w:val="20"/>
              </w:rPr>
              <w:t xml:space="preserve">Usunięcie powyższego odniesienia jest zatem uzależnione od ewentualnej zmiany sposobu systemowej identyfikacji podmiotu </w:t>
            </w:r>
            <w:r w:rsidRPr="00216ECE">
              <w:rPr>
                <w:rFonts w:ascii="Times New Roman" w:hAnsi="Times New Roman" w:cs="Times New Roman"/>
                <w:bCs/>
                <w:sz w:val="20"/>
                <w:szCs w:val="20"/>
              </w:rPr>
              <w:lastRenderedPageBreak/>
              <w:t>udzielającego pomocy niezbędnej do niestosowania wobec niego ograniczeń w dostępie do danych zgromadzonych w rejestrach.</w:t>
            </w:r>
          </w:p>
        </w:tc>
      </w:tr>
      <w:tr w:rsidR="00730890" w:rsidRPr="002F3A64" w14:paraId="72B9C2E4" w14:textId="0E1D9920" w:rsidTr="00730890">
        <w:trPr>
          <w:trHeight w:val="567"/>
        </w:trPr>
        <w:tc>
          <w:tcPr>
            <w:tcW w:w="567" w:type="dxa"/>
          </w:tcPr>
          <w:p w14:paraId="2EA4A15E" w14:textId="77777777" w:rsidR="00730890" w:rsidRPr="0003105B" w:rsidRDefault="00730890" w:rsidP="00B61589">
            <w:pPr>
              <w:pStyle w:val="Akapitzlist"/>
              <w:numPr>
                <w:ilvl w:val="0"/>
                <w:numId w:val="2"/>
              </w:numPr>
              <w:spacing w:afterLines="200" w:after="480"/>
              <w:jc w:val="both"/>
              <w:rPr>
                <w:rFonts w:ascii="Times New Roman" w:hAnsi="Times New Roman" w:cs="Times New Roman"/>
                <w:b/>
                <w:sz w:val="20"/>
                <w:szCs w:val="20"/>
              </w:rPr>
            </w:pPr>
          </w:p>
        </w:tc>
        <w:tc>
          <w:tcPr>
            <w:tcW w:w="1134" w:type="dxa"/>
          </w:tcPr>
          <w:p w14:paraId="7CCF6232" w14:textId="6DD50C7D" w:rsidR="00730890" w:rsidRPr="00F550EB" w:rsidRDefault="00240ED6" w:rsidP="00B61589">
            <w:pPr>
              <w:pStyle w:val="Akapitzlist"/>
              <w:spacing w:afterLines="200" w:after="480"/>
              <w:ind w:left="0"/>
              <w:jc w:val="center"/>
              <w:rPr>
                <w:rStyle w:val="Ppogrubienie"/>
                <w:rFonts w:ascii="Times New Roman" w:hAnsi="Times New Roman" w:cs="Times New Roman"/>
                <w:b w:val="0"/>
                <w:sz w:val="20"/>
                <w:szCs w:val="20"/>
              </w:rPr>
            </w:pPr>
            <w:r>
              <w:rPr>
                <w:rStyle w:val="Ppogrubienie"/>
                <w:rFonts w:ascii="Times New Roman" w:hAnsi="Times New Roman" w:cs="Times New Roman"/>
                <w:b w:val="0"/>
                <w:sz w:val="20"/>
                <w:szCs w:val="20"/>
              </w:rPr>
              <w:t>Art. 22 projektu, t</w:t>
            </w:r>
            <w:r w:rsidR="00730890">
              <w:rPr>
                <w:rStyle w:val="Ppogrubienie"/>
                <w:rFonts w:ascii="Times New Roman" w:hAnsi="Times New Roman" w:cs="Times New Roman"/>
                <w:b w:val="0"/>
                <w:sz w:val="20"/>
                <w:szCs w:val="20"/>
              </w:rPr>
              <w:t>ermin wejścia w życie</w:t>
            </w:r>
            <w:r w:rsidR="00730890" w:rsidRPr="00F550EB">
              <w:rPr>
                <w:rStyle w:val="Ppogrubienie"/>
                <w:rFonts w:ascii="Times New Roman" w:hAnsi="Times New Roman" w:cs="Times New Roman"/>
                <w:b w:val="0"/>
                <w:sz w:val="20"/>
                <w:szCs w:val="20"/>
              </w:rPr>
              <w:t xml:space="preserve"> projektu </w:t>
            </w:r>
          </w:p>
        </w:tc>
        <w:tc>
          <w:tcPr>
            <w:tcW w:w="1559" w:type="dxa"/>
          </w:tcPr>
          <w:p w14:paraId="6772041A" w14:textId="77777777" w:rsidR="00730890" w:rsidRPr="00730890" w:rsidRDefault="00730890" w:rsidP="00730890">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730890">
              <w:rPr>
                <w:rFonts w:ascii="Times New Roman" w:hAnsi="Times New Roman" w:cs="Times New Roman"/>
                <w:b/>
                <w:bCs/>
                <w:sz w:val="20"/>
                <w:szCs w:val="20"/>
              </w:rPr>
              <w:t>Prezes Urzędu Ochrony Konkurencji i Konsumentów</w:t>
            </w:r>
          </w:p>
          <w:p w14:paraId="3AF70A35" w14:textId="240076CA" w:rsidR="00730890" w:rsidRPr="0003105B" w:rsidRDefault="00730890" w:rsidP="00B61589">
            <w:pPr>
              <w:pStyle w:val="Akapitzlist"/>
              <w:tabs>
                <w:tab w:val="left" w:pos="188"/>
                <w:tab w:val="center" w:pos="742"/>
              </w:tabs>
              <w:spacing w:afterLines="200" w:after="480"/>
              <w:ind w:left="0"/>
              <w:jc w:val="center"/>
              <w:rPr>
                <w:rFonts w:ascii="Times New Roman" w:hAnsi="Times New Roman" w:cs="Times New Roman"/>
                <w:b/>
                <w:sz w:val="20"/>
                <w:szCs w:val="20"/>
              </w:rPr>
            </w:pPr>
          </w:p>
        </w:tc>
        <w:tc>
          <w:tcPr>
            <w:tcW w:w="6097" w:type="dxa"/>
          </w:tcPr>
          <w:p w14:paraId="6ACC579F" w14:textId="3244A1EA" w:rsidR="00240ED6" w:rsidRPr="00240ED6" w:rsidRDefault="00240ED6" w:rsidP="00240ED6">
            <w:pPr>
              <w:jc w:val="both"/>
              <w:rPr>
                <w:rFonts w:ascii="Times New Roman" w:hAnsi="Times New Roman" w:cs="Times New Roman"/>
                <w:bCs/>
                <w:sz w:val="20"/>
                <w:szCs w:val="20"/>
              </w:rPr>
            </w:pPr>
            <w:r w:rsidRPr="00240ED6">
              <w:rPr>
                <w:rFonts w:ascii="Times New Roman" w:hAnsi="Times New Roman" w:cs="Times New Roman"/>
                <w:bCs/>
                <w:sz w:val="20"/>
                <w:szCs w:val="20"/>
              </w:rPr>
              <w:t>Opierając się na pogłębionej analizie potrzeb i wymagań, dokonanej na bazie poprawionego projektu UDER101 z dnia 26 lutego 2026 r. dokonano ponownego przeliczenia kosztów ustanowienia centralnego rejestru pomocy publicznej, zgodnego z wymaganiami prawa krajowego i unijnego, oraz zapewnienia jego ciągłego, prawidłowego i wydajnego funkcjonowania. W związku z tym, w załączeniu przekazuję poprawione dokumenty dotyczące uzasadnienia kosztów, ich wykaz wraz z wyceną oraz poglądowy harmonogram prac, który zależny jest od dostępności środków finansowych i przebiegu postępowań. Z tego względu, proszę o aktualizację brzmienia art. 22 ust. 1 w zakresie maksymalnego limitu wydatków budżetu państwa będących skutkiem finansowym niniejszej ustawy w latach 2026-2035 w poniższy sposób:</w:t>
            </w:r>
          </w:p>
          <w:p w14:paraId="3C4A67FF" w14:textId="77777777" w:rsidR="00240ED6" w:rsidRPr="00240ED6" w:rsidRDefault="00240ED6" w:rsidP="00240ED6">
            <w:pPr>
              <w:jc w:val="both"/>
              <w:rPr>
                <w:rFonts w:ascii="Times New Roman" w:hAnsi="Times New Roman" w:cs="Times New Roman"/>
                <w:bCs/>
                <w:sz w:val="20"/>
                <w:szCs w:val="20"/>
              </w:rPr>
            </w:pPr>
            <w:r w:rsidRPr="00240ED6">
              <w:rPr>
                <w:rFonts w:ascii="Times New Roman" w:hAnsi="Times New Roman" w:cs="Times New Roman"/>
                <w:bCs/>
                <w:sz w:val="20"/>
                <w:szCs w:val="20"/>
              </w:rPr>
              <w:t>1) w 2026 r. – 0 zł;</w:t>
            </w:r>
          </w:p>
          <w:p w14:paraId="0D847795" w14:textId="77777777" w:rsidR="00240ED6" w:rsidRPr="00240ED6" w:rsidRDefault="00240ED6" w:rsidP="00240ED6">
            <w:pPr>
              <w:jc w:val="both"/>
              <w:rPr>
                <w:rFonts w:ascii="Times New Roman" w:hAnsi="Times New Roman" w:cs="Times New Roman"/>
                <w:bCs/>
                <w:sz w:val="20"/>
                <w:szCs w:val="20"/>
              </w:rPr>
            </w:pPr>
            <w:r w:rsidRPr="00240ED6">
              <w:rPr>
                <w:rFonts w:ascii="Times New Roman" w:hAnsi="Times New Roman" w:cs="Times New Roman"/>
                <w:bCs/>
                <w:sz w:val="20"/>
                <w:szCs w:val="20"/>
              </w:rPr>
              <w:t>2) w 2027 r. – 15 297 027,00 zł;</w:t>
            </w:r>
          </w:p>
          <w:p w14:paraId="2DEC4FB8" w14:textId="77777777" w:rsidR="00240ED6" w:rsidRPr="00240ED6" w:rsidRDefault="00240ED6" w:rsidP="00240ED6">
            <w:pPr>
              <w:jc w:val="both"/>
              <w:rPr>
                <w:rFonts w:ascii="Times New Roman" w:hAnsi="Times New Roman" w:cs="Times New Roman"/>
                <w:bCs/>
                <w:sz w:val="20"/>
                <w:szCs w:val="20"/>
              </w:rPr>
            </w:pPr>
            <w:r w:rsidRPr="00240ED6">
              <w:rPr>
                <w:rFonts w:ascii="Times New Roman" w:hAnsi="Times New Roman" w:cs="Times New Roman"/>
                <w:bCs/>
                <w:sz w:val="20"/>
                <w:szCs w:val="20"/>
              </w:rPr>
              <w:t>3) w 2028 r. – 2 603 733,00 zł;</w:t>
            </w:r>
          </w:p>
          <w:p w14:paraId="5DBB0F59" w14:textId="77777777" w:rsidR="00240ED6" w:rsidRPr="00240ED6" w:rsidRDefault="00240ED6" w:rsidP="00240ED6">
            <w:pPr>
              <w:jc w:val="both"/>
              <w:rPr>
                <w:rFonts w:ascii="Times New Roman" w:hAnsi="Times New Roman" w:cs="Times New Roman"/>
                <w:bCs/>
                <w:sz w:val="20"/>
                <w:szCs w:val="20"/>
              </w:rPr>
            </w:pPr>
            <w:r w:rsidRPr="00240ED6">
              <w:rPr>
                <w:rFonts w:ascii="Times New Roman" w:hAnsi="Times New Roman" w:cs="Times New Roman"/>
                <w:bCs/>
                <w:sz w:val="20"/>
                <w:szCs w:val="20"/>
              </w:rPr>
              <w:t>4) w 2029 r. – 2 599 063,00 zł;</w:t>
            </w:r>
          </w:p>
          <w:p w14:paraId="6C48AA70" w14:textId="77777777" w:rsidR="00240ED6" w:rsidRPr="00240ED6" w:rsidRDefault="00240ED6" w:rsidP="00240ED6">
            <w:pPr>
              <w:jc w:val="both"/>
              <w:rPr>
                <w:rFonts w:ascii="Times New Roman" w:hAnsi="Times New Roman" w:cs="Times New Roman"/>
                <w:bCs/>
                <w:sz w:val="20"/>
                <w:szCs w:val="20"/>
              </w:rPr>
            </w:pPr>
            <w:r w:rsidRPr="00240ED6">
              <w:rPr>
                <w:rFonts w:ascii="Times New Roman" w:hAnsi="Times New Roman" w:cs="Times New Roman"/>
                <w:bCs/>
                <w:sz w:val="20"/>
                <w:szCs w:val="20"/>
              </w:rPr>
              <w:t>5) w 2030 r. – 5 924 724,00 zł;</w:t>
            </w:r>
          </w:p>
          <w:p w14:paraId="3ABF741D" w14:textId="77777777" w:rsidR="00240ED6" w:rsidRPr="00240ED6" w:rsidRDefault="00240ED6" w:rsidP="00240ED6">
            <w:pPr>
              <w:jc w:val="both"/>
              <w:rPr>
                <w:rFonts w:ascii="Times New Roman" w:hAnsi="Times New Roman" w:cs="Times New Roman"/>
                <w:bCs/>
                <w:sz w:val="20"/>
                <w:szCs w:val="20"/>
              </w:rPr>
            </w:pPr>
            <w:r w:rsidRPr="00240ED6">
              <w:rPr>
                <w:rFonts w:ascii="Times New Roman" w:hAnsi="Times New Roman" w:cs="Times New Roman"/>
                <w:bCs/>
                <w:sz w:val="20"/>
                <w:szCs w:val="20"/>
              </w:rPr>
              <w:t>6) w 2031 r. – 3 028 705,00 zł;</w:t>
            </w:r>
          </w:p>
          <w:p w14:paraId="5DD645E3" w14:textId="77777777" w:rsidR="00240ED6" w:rsidRPr="00240ED6" w:rsidRDefault="00240ED6" w:rsidP="00240ED6">
            <w:pPr>
              <w:jc w:val="both"/>
              <w:rPr>
                <w:rFonts w:ascii="Times New Roman" w:hAnsi="Times New Roman" w:cs="Times New Roman"/>
                <w:bCs/>
                <w:sz w:val="20"/>
                <w:szCs w:val="20"/>
              </w:rPr>
            </w:pPr>
            <w:r w:rsidRPr="00240ED6">
              <w:rPr>
                <w:rFonts w:ascii="Times New Roman" w:hAnsi="Times New Roman" w:cs="Times New Roman"/>
                <w:bCs/>
                <w:sz w:val="20"/>
                <w:szCs w:val="20"/>
              </w:rPr>
              <w:t>7) w 2032 r. – 6 557 392,00 zł;</w:t>
            </w:r>
          </w:p>
          <w:p w14:paraId="00440F01" w14:textId="77777777" w:rsidR="00240ED6" w:rsidRPr="00240ED6" w:rsidRDefault="00240ED6" w:rsidP="00240ED6">
            <w:pPr>
              <w:jc w:val="both"/>
              <w:rPr>
                <w:rFonts w:ascii="Times New Roman" w:hAnsi="Times New Roman" w:cs="Times New Roman"/>
                <w:bCs/>
                <w:sz w:val="20"/>
                <w:szCs w:val="20"/>
              </w:rPr>
            </w:pPr>
            <w:r w:rsidRPr="00240ED6">
              <w:rPr>
                <w:rFonts w:ascii="Times New Roman" w:hAnsi="Times New Roman" w:cs="Times New Roman"/>
                <w:bCs/>
                <w:sz w:val="20"/>
                <w:szCs w:val="20"/>
              </w:rPr>
              <w:t>8) w 2033 r. – 6 354 350,00 zł;</w:t>
            </w:r>
          </w:p>
          <w:p w14:paraId="4E003E4D" w14:textId="77777777" w:rsidR="00240ED6" w:rsidRPr="00240ED6" w:rsidRDefault="00240ED6" w:rsidP="00240ED6">
            <w:pPr>
              <w:jc w:val="both"/>
              <w:rPr>
                <w:rFonts w:ascii="Times New Roman" w:hAnsi="Times New Roman" w:cs="Times New Roman"/>
                <w:bCs/>
                <w:sz w:val="20"/>
                <w:szCs w:val="20"/>
              </w:rPr>
            </w:pPr>
            <w:r w:rsidRPr="00240ED6">
              <w:rPr>
                <w:rFonts w:ascii="Times New Roman" w:hAnsi="Times New Roman" w:cs="Times New Roman"/>
                <w:bCs/>
                <w:sz w:val="20"/>
                <w:szCs w:val="20"/>
              </w:rPr>
              <w:lastRenderedPageBreak/>
              <w:t>9) w 2034 r. – 3 497 253,00 zł;</w:t>
            </w:r>
          </w:p>
          <w:p w14:paraId="7A62FEDD" w14:textId="77777777" w:rsidR="00240ED6" w:rsidRPr="00240ED6" w:rsidRDefault="00240ED6" w:rsidP="00240ED6">
            <w:pPr>
              <w:jc w:val="both"/>
              <w:rPr>
                <w:rFonts w:ascii="Times New Roman" w:hAnsi="Times New Roman" w:cs="Times New Roman"/>
                <w:bCs/>
                <w:sz w:val="20"/>
                <w:szCs w:val="20"/>
              </w:rPr>
            </w:pPr>
            <w:r w:rsidRPr="00240ED6">
              <w:rPr>
                <w:rFonts w:ascii="Times New Roman" w:hAnsi="Times New Roman" w:cs="Times New Roman"/>
                <w:bCs/>
                <w:sz w:val="20"/>
                <w:szCs w:val="20"/>
              </w:rPr>
              <w:t>10) w 2035 r. – 3 530 765,00 zł</w:t>
            </w:r>
          </w:p>
          <w:p w14:paraId="42D86C48" w14:textId="77777777" w:rsidR="00240ED6" w:rsidRPr="00240ED6" w:rsidRDefault="00240ED6" w:rsidP="00240ED6">
            <w:pPr>
              <w:jc w:val="both"/>
              <w:rPr>
                <w:rFonts w:ascii="Times New Roman" w:hAnsi="Times New Roman" w:cs="Times New Roman"/>
                <w:bCs/>
                <w:sz w:val="20"/>
                <w:szCs w:val="20"/>
              </w:rPr>
            </w:pPr>
          </w:p>
          <w:p w14:paraId="03BED3B6" w14:textId="77777777" w:rsidR="00240ED6" w:rsidRPr="00240ED6" w:rsidRDefault="00240ED6" w:rsidP="00240ED6">
            <w:pPr>
              <w:jc w:val="both"/>
              <w:rPr>
                <w:rFonts w:ascii="Times New Roman" w:hAnsi="Times New Roman" w:cs="Times New Roman"/>
                <w:bCs/>
                <w:sz w:val="20"/>
                <w:szCs w:val="20"/>
                <w:u w:val="single"/>
              </w:rPr>
            </w:pPr>
            <w:r w:rsidRPr="00240ED6">
              <w:rPr>
                <w:rFonts w:ascii="Times New Roman" w:hAnsi="Times New Roman" w:cs="Times New Roman"/>
                <w:bCs/>
                <w:sz w:val="20"/>
                <w:szCs w:val="20"/>
                <w:u w:val="single"/>
              </w:rPr>
              <w:t>Dodatkowe stanowisko w piśmie z dnia 16 kwietnia 2026 r.:</w:t>
            </w:r>
          </w:p>
          <w:p w14:paraId="4ACCA085" w14:textId="77777777" w:rsidR="00240ED6" w:rsidRPr="00240ED6" w:rsidRDefault="00240ED6" w:rsidP="00240ED6">
            <w:pPr>
              <w:jc w:val="both"/>
              <w:rPr>
                <w:rFonts w:ascii="Times New Roman" w:hAnsi="Times New Roman" w:cs="Times New Roman"/>
                <w:bCs/>
                <w:sz w:val="20"/>
                <w:szCs w:val="20"/>
              </w:rPr>
            </w:pPr>
            <w:r w:rsidRPr="00240ED6">
              <w:rPr>
                <w:rFonts w:ascii="Times New Roman" w:hAnsi="Times New Roman" w:cs="Times New Roman"/>
                <w:bCs/>
                <w:sz w:val="20"/>
                <w:szCs w:val="20"/>
              </w:rPr>
              <w:t>W celu zapewnienia ciągłego, bezpiecznego i wydajnego działania rejestru, który stanowić będzie element krytycznej infrastruktury dla funkcjonowania państwa, podtrzymuję wniosek o zachowanie w projekcie art. 22 w brzmieniu przekazanym pismem z dnia 18 marca br. Szczegółowe uzasadnienie tego wniosku zostało przedstawione we wcześniejszych pismach.</w:t>
            </w:r>
          </w:p>
          <w:p w14:paraId="2736D906" w14:textId="77777777" w:rsidR="00240ED6" w:rsidRPr="00240ED6" w:rsidRDefault="00240ED6" w:rsidP="00240ED6">
            <w:pPr>
              <w:jc w:val="both"/>
              <w:rPr>
                <w:rFonts w:ascii="Times New Roman" w:hAnsi="Times New Roman" w:cs="Times New Roman"/>
                <w:bCs/>
                <w:sz w:val="20"/>
                <w:szCs w:val="20"/>
              </w:rPr>
            </w:pPr>
            <w:r w:rsidRPr="00240ED6">
              <w:rPr>
                <w:rFonts w:ascii="Times New Roman" w:hAnsi="Times New Roman" w:cs="Times New Roman"/>
                <w:bCs/>
                <w:sz w:val="20"/>
                <w:szCs w:val="20"/>
              </w:rPr>
              <w:t>Należy jedynie wskazać, że obecnie funkcjonujące systemy nie spełniają wszystkich wymagań dla rejestrów publicznych określonych w prawie krajowym (w tym ustawą o informatyzacji działalności podmiotów realizujących zadania publiczne, ustawą o dostępności cyfrowej stron internetowych i aplikacji mobilnych administracji publicznej, ustawą o otwartych danych i ponownym wykorzystywaniu informacji sektora publicznego).</w:t>
            </w:r>
          </w:p>
          <w:p w14:paraId="7E307253" w14:textId="77777777" w:rsidR="00240ED6" w:rsidRPr="00240ED6" w:rsidRDefault="00240ED6" w:rsidP="00240ED6">
            <w:pPr>
              <w:jc w:val="both"/>
              <w:rPr>
                <w:rFonts w:ascii="Times New Roman" w:hAnsi="Times New Roman" w:cs="Times New Roman"/>
                <w:bCs/>
                <w:sz w:val="20"/>
                <w:szCs w:val="20"/>
              </w:rPr>
            </w:pPr>
            <w:r w:rsidRPr="00240ED6">
              <w:rPr>
                <w:rFonts w:ascii="Times New Roman" w:hAnsi="Times New Roman" w:cs="Times New Roman"/>
                <w:bCs/>
                <w:sz w:val="20"/>
                <w:szCs w:val="20"/>
              </w:rPr>
              <w:t>Z pomocy de minimis korzystają przede wszystkim podmioty sektora MŚP. W 2024 roku 1,8 mln przypadków pomocy to pomoc udzielona mikroprzedsiębiorcom, 92,7 tys. – małym przedsiębiorcom, 32,8 tys. -średnim przedsiębiorcom, a jedynie 19,2 tys. przypadków pomocy de minimis otrzymały podmioty spoza sektora MŚP. Pomoc de minimis finansowana jest ze środków publicznych: budżetu państwa, budżetu jednostek samorządu terytorialnego lub środków unijnych dostępnych dla polskich przedsiębiorców. Niedostępne lub nieprawidłowe dane w centralnym rejestrze, przy weryfikacji możliwości udzielenia pomocy, mogą negatywnie oddziaływać przede wszystkim na przedsiębiorców, bowiem może się zdarzyć, że nie otrzymają oni pomocy albo otrzymają pomoc w niedozwolonej wysokości, którą będą musieli zwrócić wraz z odsetkami.</w:t>
            </w:r>
          </w:p>
          <w:p w14:paraId="239ECE5E" w14:textId="77777777" w:rsidR="00240ED6" w:rsidRPr="00240ED6" w:rsidRDefault="00240ED6" w:rsidP="00240ED6">
            <w:pPr>
              <w:jc w:val="both"/>
              <w:rPr>
                <w:rFonts w:ascii="Times New Roman" w:hAnsi="Times New Roman" w:cs="Times New Roman"/>
                <w:bCs/>
                <w:sz w:val="20"/>
                <w:szCs w:val="20"/>
              </w:rPr>
            </w:pPr>
            <w:r w:rsidRPr="00240ED6">
              <w:rPr>
                <w:rFonts w:ascii="Times New Roman" w:hAnsi="Times New Roman" w:cs="Times New Roman"/>
                <w:bCs/>
                <w:sz w:val="20"/>
                <w:szCs w:val="20"/>
              </w:rPr>
              <w:t xml:space="preserve">Informacje i dane z Centralnego Rejestru Pomocy Publicznej będą wykorzystywane do wydawania decyzji dotyczących pomocy, niosących skutki finansowe dla budżetu państwa, budżetu jednostek samorządu terytorialnego, a także środków publicznych będących w dyspozycji podmiotów realizujących zadania publiczne, czy wydatkujących środki unijne, z tego względu informacje i dane w nim zawarte powinny być aktualne. Czas na wprowadzenie do systemu danych o udzielonej pomocy de minimis powinno się maksymalnie skrócić, bowiem skutki finansowe błędnych decyzji wydanych na podstawie niepełnych lub nieaktualnych </w:t>
            </w:r>
            <w:r w:rsidRPr="00240ED6">
              <w:rPr>
                <w:rFonts w:ascii="Times New Roman" w:hAnsi="Times New Roman" w:cs="Times New Roman"/>
                <w:bCs/>
                <w:sz w:val="20"/>
                <w:szCs w:val="20"/>
              </w:rPr>
              <w:lastRenderedPageBreak/>
              <w:t>danych dotkną przede wszystkim przedsiębiorców, którym w sposób nieprawidłowy udzielono lub odmówiono pomocy. Z tego względu konieczne będzie skrócenie terminu przesłania sprawozdania o udzielonej pomocy de minimis z obecnych 7 dni do 1 dnia. W tej sytuacji nie będzie wystarczające, że podmiot raz w tygodniu zasili bazę sprawozdaniami o udzielonej pomocy de minimis, jak czyni to teraz, a to z kolei będzie wymagało zwiększenia liczby użytkowników systemu sprawozdawczego, a co za tym idzie – poprawy jego wydajności.</w:t>
            </w:r>
          </w:p>
          <w:p w14:paraId="1E5FBB80" w14:textId="77777777" w:rsidR="00240ED6" w:rsidRPr="00240ED6" w:rsidRDefault="00240ED6" w:rsidP="00240ED6">
            <w:pPr>
              <w:jc w:val="both"/>
              <w:rPr>
                <w:rFonts w:ascii="Times New Roman" w:hAnsi="Times New Roman" w:cs="Times New Roman"/>
                <w:bCs/>
                <w:sz w:val="20"/>
                <w:szCs w:val="20"/>
              </w:rPr>
            </w:pPr>
            <w:r w:rsidRPr="00240ED6">
              <w:rPr>
                <w:rFonts w:ascii="Times New Roman" w:hAnsi="Times New Roman" w:cs="Times New Roman"/>
                <w:bCs/>
                <w:sz w:val="20"/>
                <w:szCs w:val="20"/>
              </w:rPr>
              <w:t>Uwaga dotycząca wejścia w życie centralnego rejestru (art. 19, art. 20, art. 21, art. 23)</w:t>
            </w:r>
          </w:p>
          <w:p w14:paraId="324F586A" w14:textId="59A8DEB0" w:rsidR="00730890" w:rsidRPr="00F550EB" w:rsidRDefault="00240ED6" w:rsidP="00240ED6">
            <w:pPr>
              <w:jc w:val="both"/>
              <w:rPr>
                <w:rFonts w:ascii="Times New Roman" w:hAnsi="Times New Roman" w:cs="Times New Roman"/>
                <w:bCs/>
                <w:sz w:val="20"/>
                <w:szCs w:val="20"/>
              </w:rPr>
            </w:pPr>
            <w:r w:rsidRPr="00240ED6">
              <w:rPr>
                <w:rFonts w:ascii="Times New Roman" w:hAnsi="Times New Roman" w:cs="Times New Roman"/>
                <w:bCs/>
                <w:sz w:val="20"/>
                <w:szCs w:val="20"/>
              </w:rPr>
              <w:t>Mając na uwadze uwagi zgłoszone przez Ministra Finansów i Gospodarki dotyczące art. 22 projektu ustawy, w sytuacji w której Komitet Stały Rady Ministrów podjął rozstrzygnięcie o jego usunięciu, podtrzymuję wcześniejszy wniosek o przesunięcie daty wejścia w życie przepisów dotyczących funkcjonowania centralnego rejestru pomocy publicznej na dzień 1 stycznia 2029 roku. Konieczność pozyskania środków na prace związane z modernizacją systemów w ramach prac nad budżetem Urzędu Ochrony Konkurencji i Konsumentów na 2027 rok oraz kolejne lata sprawia, że niemożliwe będzie przeprowadzenie wszystkich niezbędnych prac w ramach obowiązujących procedur, które pozwolą na uruchomienie centralnego rejestru z dniem 1 stycznia 2028 roku.</w:t>
            </w:r>
            <w:r w:rsidR="00730890">
              <w:rPr>
                <w:rFonts w:ascii="Times New Roman" w:hAnsi="Times New Roman" w:cs="Times New Roman"/>
                <w:bCs/>
                <w:sz w:val="20"/>
                <w:szCs w:val="20"/>
              </w:rPr>
              <w:t>.</w:t>
            </w:r>
          </w:p>
        </w:tc>
        <w:tc>
          <w:tcPr>
            <w:tcW w:w="5386" w:type="dxa"/>
          </w:tcPr>
          <w:p w14:paraId="5BADE67B" w14:textId="77777777" w:rsidR="00240ED6" w:rsidRPr="00240ED6" w:rsidRDefault="00240ED6" w:rsidP="00240ED6">
            <w:pPr>
              <w:pStyle w:val="Akapitzlist"/>
              <w:spacing w:afterLines="200" w:after="480"/>
              <w:ind w:left="36"/>
              <w:jc w:val="both"/>
              <w:rPr>
                <w:rFonts w:ascii="Times New Roman" w:hAnsi="Times New Roman" w:cs="Times New Roman"/>
                <w:b/>
                <w:bCs/>
                <w:sz w:val="20"/>
                <w:szCs w:val="20"/>
              </w:rPr>
            </w:pPr>
            <w:r w:rsidRPr="00240ED6">
              <w:rPr>
                <w:rFonts w:ascii="Times New Roman" w:hAnsi="Times New Roman" w:cs="Times New Roman"/>
                <w:b/>
                <w:bCs/>
                <w:sz w:val="20"/>
                <w:szCs w:val="20"/>
              </w:rPr>
              <w:lastRenderedPageBreak/>
              <w:t>Uwaga nieuwzględniona na obecnym etapie prac</w:t>
            </w:r>
          </w:p>
          <w:p w14:paraId="525D0589" w14:textId="128D71A5" w:rsidR="00730890" w:rsidRDefault="00730890" w:rsidP="00004DC8">
            <w:pPr>
              <w:pStyle w:val="Akapitzlist"/>
              <w:spacing w:afterLines="200" w:after="480"/>
              <w:ind w:left="0"/>
              <w:jc w:val="both"/>
              <w:rPr>
                <w:rFonts w:ascii="Times New Roman" w:hAnsi="Times New Roman" w:cs="Times New Roman"/>
                <w:bCs/>
                <w:sz w:val="20"/>
                <w:szCs w:val="20"/>
              </w:rPr>
            </w:pPr>
            <w:r w:rsidRPr="00270461">
              <w:rPr>
                <w:rFonts w:ascii="Times New Roman" w:hAnsi="Times New Roman" w:cs="Times New Roman"/>
                <w:bCs/>
                <w:sz w:val="20"/>
                <w:szCs w:val="20"/>
              </w:rPr>
              <w:t>Termin wejścia w życie projektowanych regulacji zosta</w:t>
            </w:r>
            <w:r>
              <w:rPr>
                <w:rFonts w:ascii="Times New Roman" w:hAnsi="Times New Roman" w:cs="Times New Roman"/>
                <w:bCs/>
                <w:sz w:val="20"/>
                <w:szCs w:val="20"/>
              </w:rPr>
              <w:t>ł</w:t>
            </w:r>
            <w:r w:rsidRPr="00270461">
              <w:rPr>
                <w:rFonts w:ascii="Times New Roman" w:hAnsi="Times New Roman" w:cs="Times New Roman"/>
                <w:bCs/>
                <w:sz w:val="20"/>
                <w:szCs w:val="20"/>
              </w:rPr>
              <w:t xml:space="preserve"> zmieniony </w:t>
            </w:r>
            <w:r w:rsidR="00240ED6">
              <w:rPr>
                <w:rFonts w:ascii="Times New Roman" w:hAnsi="Times New Roman" w:cs="Times New Roman"/>
                <w:bCs/>
                <w:sz w:val="20"/>
                <w:szCs w:val="20"/>
              </w:rPr>
              <w:t xml:space="preserve">wskutek uwzględnienia uwag Prezesa UOKiK i ministra właściwego do spraw rolnictwa </w:t>
            </w:r>
            <w:r w:rsidRPr="00270461">
              <w:rPr>
                <w:rFonts w:ascii="Times New Roman" w:hAnsi="Times New Roman" w:cs="Times New Roman"/>
                <w:bCs/>
                <w:sz w:val="20"/>
                <w:szCs w:val="20"/>
              </w:rPr>
              <w:t>–</w:t>
            </w:r>
            <w:r w:rsidR="00240ED6">
              <w:rPr>
                <w:rFonts w:ascii="Times New Roman" w:hAnsi="Times New Roman" w:cs="Times New Roman"/>
                <w:bCs/>
                <w:sz w:val="20"/>
                <w:szCs w:val="20"/>
              </w:rPr>
              <w:t xml:space="preserve"> wskazano na </w:t>
            </w:r>
            <w:r w:rsidRPr="00270461">
              <w:rPr>
                <w:rFonts w:ascii="Times New Roman" w:hAnsi="Times New Roman" w:cs="Times New Roman"/>
                <w:bCs/>
                <w:sz w:val="20"/>
                <w:szCs w:val="20"/>
              </w:rPr>
              <w:t>rozpoczęcie funkcjonowania rejestrów od 1 stycznia 2028 r.</w:t>
            </w:r>
          </w:p>
          <w:p w14:paraId="516137EC" w14:textId="0E065240" w:rsidR="00240ED6" w:rsidRDefault="00240ED6" w:rsidP="00004DC8">
            <w:pPr>
              <w:pStyle w:val="Akapitzlist"/>
              <w:spacing w:afterLines="200" w:after="480"/>
              <w:ind w:left="0"/>
              <w:jc w:val="both"/>
              <w:rPr>
                <w:rFonts w:ascii="Times New Roman" w:hAnsi="Times New Roman" w:cs="Times New Roman"/>
                <w:b/>
                <w:bCs/>
                <w:sz w:val="20"/>
                <w:szCs w:val="20"/>
              </w:rPr>
            </w:pPr>
            <w:r>
              <w:rPr>
                <w:rFonts w:ascii="Times New Roman" w:hAnsi="Times New Roman" w:cs="Times New Roman"/>
                <w:bCs/>
                <w:sz w:val="20"/>
                <w:szCs w:val="20"/>
              </w:rPr>
              <w:t>Skutki finansowe projektu zostały określone w projekcie zgodnie z uwzględnioną u</w:t>
            </w:r>
            <w:r w:rsidR="00730890">
              <w:rPr>
                <w:rFonts w:ascii="Times New Roman" w:hAnsi="Times New Roman" w:cs="Times New Roman"/>
                <w:bCs/>
                <w:sz w:val="20"/>
                <w:szCs w:val="20"/>
              </w:rPr>
              <w:t>wag</w:t>
            </w:r>
            <w:r>
              <w:rPr>
                <w:rFonts w:ascii="Times New Roman" w:hAnsi="Times New Roman" w:cs="Times New Roman"/>
                <w:bCs/>
                <w:sz w:val="20"/>
                <w:szCs w:val="20"/>
              </w:rPr>
              <w:t xml:space="preserve">ą Prezesa UOKiK i </w:t>
            </w:r>
            <w:r w:rsidR="00730890">
              <w:rPr>
                <w:rFonts w:ascii="Times New Roman" w:hAnsi="Times New Roman" w:cs="Times New Roman"/>
                <w:bCs/>
                <w:sz w:val="20"/>
                <w:szCs w:val="20"/>
              </w:rPr>
              <w:t xml:space="preserve">przekazanymi w  piśmie Prezesa UOKiK </w:t>
            </w:r>
            <w:r>
              <w:rPr>
                <w:rFonts w:ascii="Times New Roman" w:hAnsi="Times New Roman" w:cs="Times New Roman"/>
                <w:bCs/>
                <w:sz w:val="20"/>
                <w:szCs w:val="20"/>
              </w:rPr>
              <w:t xml:space="preserve">z dnia 11 lutego 2026 r. </w:t>
            </w:r>
            <w:r w:rsidR="00730890">
              <w:rPr>
                <w:rFonts w:ascii="Times New Roman" w:hAnsi="Times New Roman" w:cs="Times New Roman"/>
                <w:bCs/>
                <w:sz w:val="20"/>
                <w:szCs w:val="20"/>
              </w:rPr>
              <w:t>szczegółowymi danymi dotyczącymi wysokości kosztów.</w:t>
            </w:r>
            <w:r w:rsidRPr="00240ED6">
              <w:rPr>
                <w:rFonts w:ascii="Times New Roman" w:hAnsi="Times New Roman" w:cs="Times New Roman"/>
                <w:b/>
                <w:bCs/>
                <w:sz w:val="20"/>
                <w:szCs w:val="20"/>
              </w:rPr>
              <w:t xml:space="preserve"> </w:t>
            </w:r>
          </w:p>
          <w:p w14:paraId="652FEF7C" w14:textId="19FB8E15" w:rsidR="00730890" w:rsidRPr="00A735D4" w:rsidRDefault="00B14212" w:rsidP="00004DC8">
            <w:pPr>
              <w:pStyle w:val="Akapitzlist"/>
              <w:spacing w:afterLines="200" w:after="480"/>
              <w:ind w:left="0"/>
              <w:jc w:val="both"/>
              <w:rPr>
                <w:rFonts w:ascii="Times New Roman" w:hAnsi="Times New Roman" w:cs="Times New Roman"/>
                <w:bCs/>
                <w:sz w:val="20"/>
                <w:szCs w:val="20"/>
              </w:rPr>
            </w:pPr>
            <w:r>
              <w:rPr>
                <w:rFonts w:ascii="Times New Roman" w:hAnsi="Times New Roman" w:cs="Times New Roman"/>
                <w:bCs/>
                <w:sz w:val="20"/>
                <w:szCs w:val="20"/>
              </w:rPr>
              <w:t>Wnioskowana z</w:t>
            </w:r>
            <w:r w:rsidR="00A735D4" w:rsidRPr="00A735D4">
              <w:rPr>
                <w:rFonts w:ascii="Times New Roman" w:hAnsi="Times New Roman" w:cs="Times New Roman"/>
                <w:bCs/>
                <w:sz w:val="20"/>
                <w:szCs w:val="20"/>
              </w:rPr>
              <w:t xml:space="preserve">miana </w:t>
            </w:r>
            <w:r w:rsidR="00A735D4">
              <w:rPr>
                <w:rFonts w:ascii="Times New Roman" w:hAnsi="Times New Roman" w:cs="Times New Roman"/>
                <w:bCs/>
                <w:sz w:val="20"/>
                <w:szCs w:val="20"/>
              </w:rPr>
              <w:t>wysokości skutków finansowych (zwiększenie) nie została uwzględniona w</w:t>
            </w:r>
            <w:r w:rsidR="00240ED6" w:rsidRPr="00A735D4">
              <w:rPr>
                <w:rFonts w:ascii="Times New Roman" w:hAnsi="Times New Roman" w:cs="Times New Roman"/>
                <w:bCs/>
                <w:sz w:val="20"/>
                <w:szCs w:val="20"/>
              </w:rPr>
              <w:t xml:space="preserve">obec zgłoszenia rozbieżnej uwagi </w:t>
            </w:r>
            <w:bookmarkStart w:id="1" w:name="_Hlk225944685"/>
            <w:r w:rsidR="00240ED6" w:rsidRPr="00A735D4">
              <w:rPr>
                <w:rFonts w:ascii="Times New Roman" w:hAnsi="Times New Roman" w:cs="Times New Roman"/>
                <w:bCs/>
                <w:sz w:val="20"/>
                <w:szCs w:val="20"/>
              </w:rPr>
              <w:t>Ministra Finansów i Gospodarki</w:t>
            </w:r>
            <w:bookmarkEnd w:id="1"/>
            <w:r w:rsidR="00240ED6" w:rsidRPr="00A735D4">
              <w:rPr>
                <w:rFonts w:ascii="Times New Roman" w:hAnsi="Times New Roman" w:cs="Times New Roman"/>
                <w:bCs/>
                <w:sz w:val="20"/>
                <w:szCs w:val="20"/>
              </w:rPr>
              <w:t>, wnioskującego o usunięcie art.</w:t>
            </w:r>
            <w:r w:rsidR="00A735D4">
              <w:rPr>
                <w:rFonts w:ascii="Times New Roman" w:hAnsi="Times New Roman" w:cs="Times New Roman"/>
                <w:bCs/>
                <w:sz w:val="20"/>
                <w:szCs w:val="20"/>
              </w:rPr>
              <w:t> </w:t>
            </w:r>
            <w:r w:rsidR="00240ED6" w:rsidRPr="00A735D4">
              <w:rPr>
                <w:rFonts w:ascii="Times New Roman" w:hAnsi="Times New Roman" w:cs="Times New Roman"/>
                <w:bCs/>
                <w:sz w:val="20"/>
                <w:szCs w:val="20"/>
              </w:rPr>
              <w:t>22 projektu</w:t>
            </w:r>
            <w:r>
              <w:rPr>
                <w:rFonts w:ascii="Times New Roman" w:hAnsi="Times New Roman" w:cs="Times New Roman"/>
                <w:bCs/>
                <w:sz w:val="20"/>
                <w:szCs w:val="20"/>
              </w:rPr>
              <w:t>.</w:t>
            </w:r>
            <w:r w:rsidR="00A735D4">
              <w:rPr>
                <w:rFonts w:ascii="Times New Roman" w:hAnsi="Times New Roman" w:cs="Times New Roman"/>
                <w:bCs/>
                <w:sz w:val="20"/>
                <w:szCs w:val="20"/>
              </w:rPr>
              <w:t xml:space="preserve"> </w:t>
            </w:r>
            <w:r>
              <w:rPr>
                <w:rFonts w:ascii="Times New Roman" w:hAnsi="Times New Roman" w:cs="Times New Roman"/>
                <w:bCs/>
                <w:sz w:val="20"/>
                <w:szCs w:val="20"/>
              </w:rPr>
              <w:t>W</w:t>
            </w:r>
            <w:r w:rsidR="00240ED6" w:rsidRPr="00A735D4">
              <w:rPr>
                <w:rFonts w:ascii="Times New Roman" w:hAnsi="Times New Roman" w:cs="Times New Roman"/>
                <w:bCs/>
                <w:sz w:val="20"/>
                <w:szCs w:val="20"/>
              </w:rPr>
              <w:t xml:space="preserve"> projekcie zachowano</w:t>
            </w:r>
            <w:r>
              <w:rPr>
                <w:rFonts w:ascii="Times New Roman" w:hAnsi="Times New Roman" w:cs="Times New Roman"/>
                <w:bCs/>
                <w:sz w:val="20"/>
                <w:szCs w:val="20"/>
              </w:rPr>
              <w:t xml:space="preserve"> zatem </w:t>
            </w:r>
            <w:r w:rsidR="004D5368">
              <w:rPr>
                <w:rFonts w:ascii="Times New Roman" w:hAnsi="Times New Roman" w:cs="Times New Roman"/>
                <w:bCs/>
                <w:sz w:val="20"/>
                <w:szCs w:val="20"/>
              </w:rPr>
              <w:t xml:space="preserve">obecnie </w:t>
            </w:r>
            <w:r w:rsidR="00240ED6" w:rsidRPr="00A735D4">
              <w:rPr>
                <w:rFonts w:ascii="Times New Roman" w:hAnsi="Times New Roman" w:cs="Times New Roman"/>
                <w:bCs/>
                <w:sz w:val="20"/>
                <w:szCs w:val="20"/>
              </w:rPr>
              <w:t>niezmienione regulacje art. 22 projektu, pozostawiając w tym zakresie rozbieżność do rozstrzygnięcia na dalszym etapie prac</w:t>
            </w:r>
            <w:r w:rsidR="00A735D4">
              <w:rPr>
                <w:rFonts w:ascii="Times New Roman" w:hAnsi="Times New Roman" w:cs="Times New Roman"/>
                <w:bCs/>
                <w:sz w:val="20"/>
                <w:szCs w:val="20"/>
              </w:rPr>
              <w:t>.</w:t>
            </w:r>
            <w:r w:rsidR="004D5368">
              <w:rPr>
                <w:rFonts w:ascii="Times New Roman" w:hAnsi="Times New Roman" w:cs="Times New Roman"/>
                <w:bCs/>
                <w:sz w:val="20"/>
                <w:szCs w:val="20"/>
              </w:rPr>
              <w:t xml:space="preserve"> W konsekwencji w projekcie nie uwzględniono także alternatywnie wnioskowanej w przypadku usunięcia tej regulacji zmiany terminu wejścia w życie.</w:t>
            </w:r>
          </w:p>
          <w:p w14:paraId="28FFA716" w14:textId="3F4B800D" w:rsidR="00730890" w:rsidRPr="00004DC8" w:rsidRDefault="00730890" w:rsidP="00610EAD">
            <w:pPr>
              <w:pStyle w:val="Akapitzlist"/>
              <w:ind w:left="0"/>
              <w:contextualSpacing w:val="0"/>
              <w:jc w:val="both"/>
              <w:rPr>
                <w:rFonts w:ascii="Times New Roman" w:hAnsi="Times New Roman" w:cs="Times New Roman"/>
                <w:bCs/>
                <w:color w:val="0070C0"/>
                <w:sz w:val="20"/>
                <w:szCs w:val="20"/>
              </w:rPr>
            </w:pPr>
          </w:p>
        </w:tc>
      </w:tr>
    </w:tbl>
    <w:p w14:paraId="74BBD7D6" w14:textId="4CB6E293" w:rsidR="00075479" w:rsidRPr="008300F1" w:rsidRDefault="00075479" w:rsidP="008300F1">
      <w:pPr>
        <w:tabs>
          <w:tab w:val="left" w:pos="13170"/>
        </w:tabs>
        <w:spacing w:after="400"/>
        <w:jc w:val="both"/>
        <w:rPr>
          <w:rFonts w:ascii="Times New Roman" w:hAnsi="Times New Roman" w:cs="Times New Roman"/>
          <w:sz w:val="24"/>
        </w:rPr>
      </w:pPr>
    </w:p>
    <w:sectPr w:rsidR="00075479" w:rsidRPr="008300F1" w:rsidSect="009E5A03">
      <w:footerReference w:type="default" r:id="rId8"/>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692D1" w14:textId="77777777" w:rsidR="005805CD" w:rsidRDefault="005805CD" w:rsidP="00C06FD5">
      <w:pPr>
        <w:spacing w:after="0" w:line="240" w:lineRule="auto"/>
      </w:pPr>
      <w:r>
        <w:separator/>
      </w:r>
    </w:p>
  </w:endnote>
  <w:endnote w:type="continuationSeparator" w:id="0">
    <w:p w14:paraId="15236EA9" w14:textId="77777777" w:rsidR="005805CD" w:rsidRDefault="005805CD" w:rsidP="00C06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1995425"/>
      <w:docPartObj>
        <w:docPartGallery w:val="Page Numbers (Bottom of Page)"/>
        <w:docPartUnique/>
      </w:docPartObj>
    </w:sdtPr>
    <w:sdtContent>
      <w:p w14:paraId="1F30E044" w14:textId="77777777" w:rsidR="00385610" w:rsidRDefault="00385610">
        <w:pPr>
          <w:pStyle w:val="Stopka"/>
          <w:jc w:val="right"/>
        </w:pPr>
        <w:r>
          <w:fldChar w:fldCharType="begin"/>
        </w:r>
        <w:r>
          <w:instrText>PAGE   \* MERGEFORMAT</w:instrText>
        </w:r>
        <w:r>
          <w:fldChar w:fldCharType="separate"/>
        </w:r>
        <w:r>
          <w:rPr>
            <w:noProof/>
          </w:rPr>
          <w:t>4</w:t>
        </w:r>
        <w:r>
          <w:fldChar w:fldCharType="end"/>
        </w:r>
      </w:p>
    </w:sdtContent>
  </w:sdt>
  <w:p w14:paraId="31185F3B" w14:textId="77777777" w:rsidR="00385610" w:rsidRDefault="0038561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F1420" w14:textId="77777777" w:rsidR="005805CD" w:rsidRDefault="005805CD" w:rsidP="00C06FD5">
      <w:pPr>
        <w:spacing w:after="0" w:line="240" w:lineRule="auto"/>
      </w:pPr>
      <w:r>
        <w:separator/>
      </w:r>
    </w:p>
  </w:footnote>
  <w:footnote w:type="continuationSeparator" w:id="0">
    <w:p w14:paraId="0CF9EA6D" w14:textId="77777777" w:rsidR="005805CD" w:rsidRDefault="005805CD" w:rsidP="00C06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6153CD"/>
    <w:multiLevelType w:val="hybridMultilevel"/>
    <w:tmpl w:val="91E5675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8F313E8"/>
    <w:multiLevelType w:val="hybridMultilevel"/>
    <w:tmpl w:val="25E5C59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177E0F3"/>
    <w:multiLevelType w:val="hybridMultilevel"/>
    <w:tmpl w:val="716682F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4CD8D0B"/>
    <w:multiLevelType w:val="hybridMultilevel"/>
    <w:tmpl w:val="E31A371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D3F6FC3"/>
    <w:multiLevelType w:val="hybridMultilevel"/>
    <w:tmpl w:val="EBEC3B6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5868DEF"/>
    <w:multiLevelType w:val="hybridMultilevel"/>
    <w:tmpl w:val="BA35426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B91DF00"/>
    <w:multiLevelType w:val="hybridMultilevel"/>
    <w:tmpl w:val="9A914B0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1116716"/>
    <w:multiLevelType w:val="hybridMultilevel"/>
    <w:tmpl w:val="2E963FE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1E02733"/>
    <w:multiLevelType w:val="hybridMultilevel"/>
    <w:tmpl w:val="1726705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40A324"/>
    <w:multiLevelType w:val="hybridMultilevel"/>
    <w:tmpl w:val="E8DCD7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5D60737"/>
    <w:multiLevelType w:val="hybridMultilevel"/>
    <w:tmpl w:val="44FE508A"/>
    <w:lvl w:ilvl="0" w:tplc="9552EF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E3E4E74"/>
    <w:multiLevelType w:val="hybridMultilevel"/>
    <w:tmpl w:val="48555D7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007143F"/>
    <w:multiLevelType w:val="hybridMultilevel"/>
    <w:tmpl w:val="CC2C6BC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109ED841"/>
    <w:multiLevelType w:val="hybridMultilevel"/>
    <w:tmpl w:val="4212DB8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1FC3456"/>
    <w:multiLevelType w:val="hybridMultilevel"/>
    <w:tmpl w:val="2022036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13FF3EB7"/>
    <w:multiLevelType w:val="hybridMultilevel"/>
    <w:tmpl w:val="7DDCE9C6"/>
    <w:lvl w:ilvl="0" w:tplc="0415000F">
      <w:start w:val="1"/>
      <w:numFmt w:val="decimal"/>
      <w:lvlText w:val="%1."/>
      <w:lvlJc w:val="left"/>
      <w:pPr>
        <w:ind w:left="39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633884"/>
    <w:multiLevelType w:val="hybridMultilevel"/>
    <w:tmpl w:val="C1B602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8940BF3"/>
    <w:multiLevelType w:val="hybridMultilevel"/>
    <w:tmpl w:val="38D0F8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E196BF0"/>
    <w:multiLevelType w:val="hybridMultilevel"/>
    <w:tmpl w:val="49B079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3D3108E"/>
    <w:multiLevelType w:val="hybridMultilevel"/>
    <w:tmpl w:val="F9944A56"/>
    <w:lvl w:ilvl="0" w:tplc="1EECCB7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2B4D2EF2"/>
    <w:multiLevelType w:val="hybridMultilevel"/>
    <w:tmpl w:val="BF0AF0C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BD21969"/>
    <w:multiLevelType w:val="hybridMultilevel"/>
    <w:tmpl w:val="5BDD61D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2CEC07DD"/>
    <w:multiLevelType w:val="hybridMultilevel"/>
    <w:tmpl w:val="A4303D56"/>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3" w15:restartNumberingAfterBreak="0">
    <w:nsid w:val="2DDC79C3"/>
    <w:multiLevelType w:val="hybridMultilevel"/>
    <w:tmpl w:val="E79CF8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EE2D4E"/>
    <w:multiLevelType w:val="hybridMultilevel"/>
    <w:tmpl w:val="64907F2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380C6199"/>
    <w:multiLevelType w:val="hybridMultilevel"/>
    <w:tmpl w:val="E60E69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D286A08"/>
    <w:multiLevelType w:val="hybridMultilevel"/>
    <w:tmpl w:val="06903EA6"/>
    <w:lvl w:ilvl="0" w:tplc="8F7E6A4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DC5F16"/>
    <w:multiLevelType w:val="hybridMultilevel"/>
    <w:tmpl w:val="7696E332"/>
    <w:lvl w:ilvl="0" w:tplc="04150011">
      <w:start w:val="1"/>
      <w:numFmt w:val="decimal"/>
      <w:lvlText w:val="%1)"/>
      <w:lvlJc w:val="left"/>
      <w:pPr>
        <w:ind w:left="4755" w:hanging="360"/>
      </w:pPr>
    </w:lvl>
    <w:lvl w:ilvl="1" w:tplc="9B5474E2">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3E046886"/>
    <w:multiLevelType w:val="hybridMultilevel"/>
    <w:tmpl w:val="738073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17A1909"/>
    <w:multiLevelType w:val="hybridMultilevel"/>
    <w:tmpl w:val="6D7A3E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6840AA5"/>
    <w:multiLevelType w:val="hybridMultilevel"/>
    <w:tmpl w:val="6D38608C"/>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46EF01E9"/>
    <w:multiLevelType w:val="hybridMultilevel"/>
    <w:tmpl w:val="065AE4A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474F573C"/>
    <w:multiLevelType w:val="hybridMultilevel"/>
    <w:tmpl w:val="6E763254"/>
    <w:lvl w:ilvl="0" w:tplc="9872F930">
      <w:start w:val="1"/>
      <w:numFmt w:val="decimal"/>
      <w:lvlText w:val="%1."/>
      <w:lvlJc w:val="left"/>
      <w:pPr>
        <w:ind w:left="720" w:hanging="360"/>
      </w:pPr>
      <w:rPr>
        <w:rFonts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1AE572"/>
    <w:multiLevelType w:val="hybridMultilevel"/>
    <w:tmpl w:val="90C21D3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11D2463"/>
    <w:multiLevelType w:val="hybridMultilevel"/>
    <w:tmpl w:val="FA255DC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3D31FFF"/>
    <w:multiLevelType w:val="hybridMultilevel"/>
    <w:tmpl w:val="E9E8EC38"/>
    <w:lvl w:ilvl="0" w:tplc="66F06AC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BAB71EE"/>
    <w:multiLevelType w:val="hybridMultilevel"/>
    <w:tmpl w:val="7BFA8E0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D997FA0"/>
    <w:multiLevelType w:val="hybridMultilevel"/>
    <w:tmpl w:val="E154DFB6"/>
    <w:lvl w:ilvl="0" w:tplc="C6C645CA">
      <w:start w:val="1"/>
      <w:numFmt w:val="lowerLetter"/>
      <w:lvlText w:val="%1)"/>
      <w:lvlJc w:val="left"/>
      <w:pPr>
        <w:ind w:left="36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lvl w:ilvl="1" w:tplc="DECAAE2C">
      <w:start w:val="1"/>
      <w:numFmt w:val="lowerLetter"/>
      <w:lvlText w:val="%2"/>
      <w:lvlJc w:val="left"/>
      <w:pPr>
        <w:ind w:left="108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lvl w:ilvl="2" w:tplc="3ABC93DC">
      <w:start w:val="1"/>
      <w:numFmt w:val="lowerRoman"/>
      <w:lvlText w:val="%3"/>
      <w:lvlJc w:val="left"/>
      <w:pPr>
        <w:ind w:left="180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lvl w:ilvl="3" w:tplc="D3C26224">
      <w:start w:val="1"/>
      <w:numFmt w:val="decimal"/>
      <w:lvlText w:val="%4"/>
      <w:lvlJc w:val="left"/>
      <w:pPr>
        <w:ind w:left="252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lvl w:ilvl="4" w:tplc="9864B7F6">
      <w:start w:val="1"/>
      <w:numFmt w:val="lowerLetter"/>
      <w:lvlText w:val="%5"/>
      <w:lvlJc w:val="left"/>
      <w:pPr>
        <w:ind w:left="324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lvl w:ilvl="5" w:tplc="EAD8ED6E">
      <w:start w:val="1"/>
      <w:numFmt w:val="lowerRoman"/>
      <w:lvlText w:val="%6"/>
      <w:lvlJc w:val="left"/>
      <w:pPr>
        <w:ind w:left="396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lvl w:ilvl="6" w:tplc="1708E3BA">
      <w:start w:val="1"/>
      <w:numFmt w:val="decimal"/>
      <w:lvlText w:val="%7"/>
      <w:lvlJc w:val="left"/>
      <w:pPr>
        <w:ind w:left="468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lvl w:ilvl="7" w:tplc="F2041CAC">
      <w:start w:val="1"/>
      <w:numFmt w:val="lowerLetter"/>
      <w:lvlText w:val="%8"/>
      <w:lvlJc w:val="left"/>
      <w:pPr>
        <w:ind w:left="540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lvl w:ilvl="8" w:tplc="6D6EB388">
      <w:start w:val="1"/>
      <w:numFmt w:val="lowerRoman"/>
      <w:lvlText w:val="%9"/>
      <w:lvlJc w:val="left"/>
      <w:pPr>
        <w:ind w:left="612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abstractNum>
  <w:abstractNum w:abstractNumId="38" w15:restartNumberingAfterBreak="0">
    <w:nsid w:val="5F8C4181"/>
    <w:multiLevelType w:val="hybridMultilevel"/>
    <w:tmpl w:val="681458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26C96D7"/>
    <w:multiLevelType w:val="hybridMultilevel"/>
    <w:tmpl w:val="9837479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3D72AF7"/>
    <w:multiLevelType w:val="hybridMultilevel"/>
    <w:tmpl w:val="B11D8FB6"/>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5EC3D8A"/>
    <w:multiLevelType w:val="hybridMultilevel"/>
    <w:tmpl w:val="274628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81CE388"/>
    <w:multiLevelType w:val="hybridMultilevel"/>
    <w:tmpl w:val="397A117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8676A77"/>
    <w:multiLevelType w:val="hybridMultilevel"/>
    <w:tmpl w:val="37C704F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A7A302A"/>
    <w:multiLevelType w:val="hybridMultilevel"/>
    <w:tmpl w:val="05C9CD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CFB0B28"/>
    <w:multiLevelType w:val="hybridMultilevel"/>
    <w:tmpl w:val="53D44B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22592884">
    <w:abstractNumId w:val="32"/>
  </w:num>
  <w:num w:numId="2" w16cid:durableId="798105872">
    <w:abstractNumId w:val="15"/>
  </w:num>
  <w:num w:numId="3" w16cid:durableId="1284578252">
    <w:abstractNumId w:val="30"/>
  </w:num>
  <w:num w:numId="4" w16cid:durableId="175852709">
    <w:abstractNumId w:val="37"/>
  </w:num>
  <w:num w:numId="5" w16cid:durableId="1262253171">
    <w:abstractNumId w:val="33"/>
  </w:num>
  <w:num w:numId="6" w16cid:durableId="1880435807">
    <w:abstractNumId w:val="0"/>
  </w:num>
  <w:num w:numId="7" w16cid:durableId="604578327">
    <w:abstractNumId w:val="5"/>
  </w:num>
  <w:num w:numId="8" w16cid:durableId="1653564508">
    <w:abstractNumId w:val="7"/>
  </w:num>
  <w:num w:numId="9" w16cid:durableId="1809933235">
    <w:abstractNumId w:val="3"/>
  </w:num>
  <w:num w:numId="10" w16cid:durableId="709306680">
    <w:abstractNumId w:val="11"/>
  </w:num>
  <w:num w:numId="11" w16cid:durableId="1621375562">
    <w:abstractNumId w:val="39"/>
  </w:num>
  <w:num w:numId="12" w16cid:durableId="1269267335">
    <w:abstractNumId w:val="13"/>
  </w:num>
  <w:num w:numId="13" w16cid:durableId="1777867385">
    <w:abstractNumId w:val="21"/>
  </w:num>
  <w:num w:numId="14" w16cid:durableId="1768118870">
    <w:abstractNumId w:val="42"/>
  </w:num>
  <w:num w:numId="15" w16cid:durableId="1174034578">
    <w:abstractNumId w:val="4"/>
  </w:num>
  <w:num w:numId="16" w16cid:durableId="1972785381">
    <w:abstractNumId w:val="43"/>
  </w:num>
  <w:num w:numId="17" w16cid:durableId="954412624">
    <w:abstractNumId w:val="20"/>
  </w:num>
  <w:num w:numId="18" w16cid:durableId="66155259">
    <w:abstractNumId w:val="1"/>
  </w:num>
  <w:num w:numId="19" w16cid:durableId="1767341669">
    <w:abstractNumId w:val="34"/>
  </w:num>
  <w:num w:numId="20" w16cid:durableId="202061337">
    <w:abstractNumId w:val="6"/>
  </w:num>
  <w:num w:numId="21" w16cid:durableId="455107185">
    <w:abstractNumId w:val="44"/>
  </w:num>
  <w:num w:numId="22" w16cid:durableId="125390374">
    <w:abstractNumId w:val="9"/>
  </w:num>
  <w:num w:numId="23" w16cid:durableId="269825300">
    <w:abstractNumId w:val="2"/>
  </w:num>
  <w:num w:numId="24" w16cid:durableId="1706176827">
    <w:abstractNumId w:val="40"/>
  </w:num>
  <w:num w:numId="25" w16cid:durableId="80876906">
    <w:abstractNumId w:val="24"/>
  </w:num>
  <w:num w:numId="26" w16cid:durableId="18285953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9653436">
    <w:abstractNumId w:val="14"/>
  </w:num>
  <w:num w:numId="28" w16cid:durableId="21172922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7644172">
    <w:abstractNumId w:val="31"/>
  </w:num>
  <w:num w:numId="30" w16cid:durableId="764809553">
    <w:abstractNumId w:val="12"/>
  </w:num>
  <w:num w:numId="31" w16cid:durableId="1547982430">
    <w:abstractNumId w:val="36"/>
  </w:num>
  <w:num w:numId="32" w16cid:durableId="817185493">
    <w:abstractNumId w:val="27"/>
  </w:num>
  <w:num w:numId="33" w16cid:durableId="855342954">
    <w:abstractNumId w:val="10"/>
  </w:num>
  <w:num w:numId="34" w16cid:durableId="1684094111">
    <w:abstractNumId w:val="22"/>
  </w:num>
  <w:num w:numId="35" w16cid:durableId="882062653">
    <w:abstractNumId w:val="19"/>
  </w:num>
  <w:num w:numId="36" w16cid:durableId="2055426720">
    <w:abstractNumId w:val="16"/>
  </w:num>
  <w:num w:numId="37" w16cid:durableId="1376351289">
    <w:abstractNumId w:val="18"/>
  </w:num>
  <w:num w:numId="38" w16cid:durableId="1800100327">
    <w:abstractNumId w:val="28"/>
  </w:num>
  <w:num w:numId="39" w16cid:durableId="578559474">
    <w:abstractNumId w:val="38"/>
  </w:num>
  <w:num w:numId="40" w16cid:durableId="1525510533">
    <w:abstractNumId w:val="41"/>
  </w:num>
  <w:num w:numId="41" w16cid:durableId="1079792418">
    <w:abstractNumId w:val="25"/>
  </w:num>
  <w:num w:numId="42" w16cid:durableId="1658610655">
    <w:abstractNumId w:val="17"/>
  </w:num>
  <w:num w:numId="43" w16cid:durableId="1928271227">
    <w:abstractNumId w:val="45"/>
  </w:num>
  <w:num w:numId="44" w16cid:durableId="1258174164">
    <w:abstractNumId w:val="23"/>
  </w:num>
  <w:num w:numId="45" w16cid:durableId="46225528">
    <w:abstractNumId w:val="8"/>
  </w:num>
  <w:num w:numId="46" w16cid:durableId="286162376">
    <w:abstractNumId w:val="29"/>
  </w:num>
  <w:num w:numId="47" w16cid:durableId="1467167179">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4C9"/>
    <w:rsid w:val="00000FDA"/>
    <w:rsid w:val="000023AC"/>
    <w:rsid w:val="00004D0F"/>
    <w:rsid w:val="00004DC8"/>
    <w:rsid w:val="00010152"/>
    <w:rsid w:val="00010E01"/>
    <w:rsid w:val="00012BDE"/>
    <w:rsid w:val="00013AB2"/>
    <w:rsid w:val="0001499C"/>
    <w:rsid w:val="000211E5"/>
    <w:rsid w:val="00027AA0"/>
    <w:rsid w:val="0003105B"/>
    <w:rsid w:val="000317B1"/>
    <w:rsid w:val="000322A4"/>
    <w:rsid w:val="00033E4E"/>
    <w:rsid w:val="000362F6"/>
    <w:rsid w:val="00036623"/>
    <w:rsid w:val="0004082F"/>
    <w:rsid w:val="000418A3"/>
    <w:rsid w:val="000434F6"/>
    <w:rsid w:val="000435A2"/>
    <w:rsid w:val="000557F9"/>
    <w:rsid w:val="00057401"/>
    <w:rsid w:val="000668F5"/>
    <w:rsid w:val="00067253"/>
    <w:rsid w:val="00067F2F"/>
    <w:rsid w:val="00070C3C"/>
    <w:rsid w:val="00075479"/>
    <w:rsid w:val="00080FC6"/>
    <w:rsid w:val="000825F7"/>
    <w:rsid w:val="000832FB"/>
    <w:rsid w:val="00084B0F"/>
    <w:rsid w:val="0008718F"/>
    <w:rsid w:val="00087A9E"/>
    <w:rsid w:val="00087E1D"/>
    <w:rsid w:val="000A0048"/>
    <w:rsid w:val="000A1773"/>
    <w:rsid w:val="000A3BD4"/>
    <w:rsid w:val="000B11C1"/>
    <w:rsid w:val="000B59F6"/>
    <w:rsid w:val="000B60DB"/>
    <w:rsid w:val="000B6299"/>
    <w:rsid w:val="000B7D77"/>
    <w:rsid w:val="000C2D38"/>
    <w:rsid w:val="000C50FB"/>
    <w:rsid w:val="000C7FC9"/>
    <w:rsid w:val="000D218A"/>
    <w:rsid w:val="000E4A8C"/>
    <w:rsid w:val="000F09BE"/>
    <w:rsid w:val="000F345F"/>
    <w:rsid w:val="000F64A1"/>
    <w:rsid w:val="001056DB"/>
    <w:rsid w:val="00106455"/>
    <w:rsid w:val="00107A29"/>
    <w:rsid w:val="00111106"/>
    <w:rsid w:val="00111D2A"/>
    <w:rsid w:val="00116BED"/>
    <w:rsid w:val="00122EC8"/>
    <w:rsid w:val="00125CBC"/>
    <w:rsid w:val="00127A21"/>
    <w:rsid w:val="001303CB"/>
    <w:rsid w:val="00131A3D"/>
    <w:rsid w:val="00135CDF"/>
    <w:rsid w:val="00144D9A"/>
    <w:rsid w:val="00146B46"/>
    <w:rsid w:val="00151561"/>
    <w:rsid w:val="00155C75"/>
    <w:rsid w:val="001567BC"/>
    <w:rsid w:val="001568F8"/>
    <w:rsid w:val="00157921"/>
    <w:rsid w:val="00160371"/>
    <w:rsid w:val="00166FF7"/>
    <w:rsid w:val="0016743F"/>
    <w:rsid w:val="00167C1A"/>
    <w:rsid w:val="00171126"/>
    <w:rsid w:val="0017684B"/>
    <w:rsid w:val="00177AF7"/>
    <w:rsid w:val="00184871"/>
    <w:rsid w:val="00185822"/>
    <w:rsid w:val="00190074"/>
    <w:rsid w:val="001903FB"/>
    <w:rsid w:val="00190BDB"/>
    <w:rsid w:val="001965C8"/>
    <w:rsid w:val="001B5F44"/>
    <w:rsid w:val="001C06DF"/>
    <w:rsid w:val="001C52A0"/>
    <w:rsid w:val="001C5555"/>
    <w:rsid w:val="001D59AB"/>
    <w:rsid w:val="001D6661"/>
    <w:rsid w:val="001D75D3"/>
    <w:rsid w:val="001E2B37"/>
    <w:rsid w:val="001E4D82"/>
    <w:rsid w:val="001E564A"/>
    <w:rsid w:val="001E6BE8"/>
    <w:rsid w:val="001F21B8"/>
    <w:rsid w:val="001F2426"/>
    <w:rsid w:val="001F3CBC"/>
    <w:rsid w:val="001F7FA0"/>
    <w:rsid w:val="00203B8F"/>
    <w:rsid w:val="00206D09"/>
    <w:rsid w:val="00211B29"/>
    <w:rsid w:val="00216ECE"/>
    <w:rsid w:val="00220995"/>
    <w:rsid w:val="0023109A"/>
    <w:rsid w:val="002335F0"/>
    <w:rsid w:val="00234DE1"/>
    <w:rsid w:val="00240ED6"/>
    <w:rsid w:val="00256EF0"/>
    <w:rsid w:val="00270461"/>
    <w:rsid w:val="0027304A"/>
    <w:rsid w:val="00276C4A"/>
    <w:rsid w:val="00276DE1"/>
    <w:rsid w:val="00277DF3"/>
    <w:rsid w:val="00283921"/>
    <w:rsid w:val="002851E1"/>
    <w:rsid w:val="002A1F91"/>
    <w:rsid w:val="002A2F6C"/>
    <w:rsid w:val="002B3131"/>
    <w:rsid w:val="002B3B61"/>
    <w:rsid w:val="002B4107"/>
    <w:rsid w:val="002B4A5F"/>
    <w:rsid w:val="002B5449"/>
    <w:rsid w:val="002B5910"/>
    <w:rsid w:val="002B705A"/>
    <w:rsid w:val="002C30B4"/>
    <w:rsid w:val="002C370C"/>
    <w:rsid w:val="002C3B0C"/>
    <w:rsid w:val="002C4484"/>
    <w:rsid w:val="002C663B"/>
    <w:rsid w:val="002D00A2"/>
    <w:rsid w:val="002D0D1D"/>
    <w:rsid w:val="002D11AA"/>
    <w:rsid w:val="002D431A"/>
    <w:rsid w:val="002D5C38"/>
    <w:rsid w:val="002D7B1B"/>
    <w:rsid w:val="002D7F4E"/>
    <w:rsid w:val="002D7F81"/>
    <w:rsid w:val="002E08A5"/>
    <w:rsid w:val="002E0BA4"/>
    <w:rsid w:val="002E43BD"/>
    <w:rsid w:val="002E4637"/>
    <w:rsid w:val="002E5D37"/>
    <w:rsid w:val="002F16D2"/>
    <w:rsid w:val="002F244C"/>
    <w:rsid w:val="002F3A64"/>
    <w:rsid w:val="002F559B"/>
    <w:rsid w:val="002F768C"/>
    <w:rsid w:val="00300AE9"/>
    <w:rsid w:val="00303D20"/>
    <w:rsid w:val="0031317D"/>
    <w:rsid w:val="00320AB1"/>
    <w:rsid w:val="00324F66"/>
    <w:rsid w:val="00326130"/>
    <w:rsid w:val="00327536"/>
    <w:rsid w:val="003357E3"/>
    <w:rsid w:val="0033598F"/>
    <w:rsid w:val="00336ACC"/>
    <w:rsid w:val="00343259"/>
    <w:rsid w:val="0034396D"/>
    <w:rsid w:val="003462D9"/>
    <w:rsid w:val="0034681F"/>
    <w:rsid w:val="00362E2B"/>
    <w:rsid w:val="0036546B"/>
    <w:rsid w:val="00365B41"/>
    <w:rsid w:val="003662D3"/>
    <w:rsid w:val="00371150"/>
    <w:rsid w:val="00372914"/>
    <w:rsid w:val="003747C5"/>
    <w:rsid w:val="003774CB"/>
    <w:rsid w:val="00381544"/>
    <w:rsid w:val="00385610"/>
    <w:rsid w:val="0039501E"/>
    <w:rsid w:val="003955E8"/>
    <w:rsid w:val="00396554"/>
    <w:rsid w:val="0039661B"/>
    <w:rsid w:val="003979B9"/>
    <w:rsid w:val="003A0E37"/>
    <w:rsid w:val="003A5A88"/>
    <w:rsid w:val="003A5C6A"/>
    <w:rsid w:val="003A5EC7"/>
    <w:rsid w:val="003B2B48"/>
    <w:rsid w:val="003B5DC9"/>
    <w:rsid w:val="003B69E5"/>
    <w:rsid w:val="003B7119"/>
    <w:rsid w:val="003C0BF8"/>
    <w:rsid w:val="003D2966"/>
    <w:rsid w:val="003D2D8C"/>
    <w:rsid w:val="003E0E3E"/>
    <w:rsid w:val="003E3BE8"/>
    <w:rsid w:val="003E55AF"/>
    <w:rsid w:val="003F0A6C"/>
    <w:rsid w:val="003F1821"/>
    <w:rsid w:val="003F2218"/>
    <w:rsid w:val="003F61AE"/>
    <w:rsid w:val="003F79D9"/>
    <w:rsid w:val="003F7E95"/>
    <w:rsid w:val="00403493"/>
    <w:rsid w:val="0040552F"/>
    <w:rsid w:val="00406440"/>
    <w:rsid w:val="0041337E"/>
    <w:rsid w:val="00413441"/>
    <w:rsid w:val="00414042"/>
    <w:rsid w:val="00414229"/>
    <w:rsid w:val="004174A7"/>
    <w:rsid w:val="004175E4"/>
    <w:rsid w:val="00417FC3"/>
    <w:rsid w:val="004332E3"/>
    <w:rsid w:val="00436A26"/>
    <w:rsid w:val="00442E31"/>
    <w:rsid w:val="00453DFD"/>
    <w:rsid w:val="00463D0D"/>
    <w:rsid w:val="00466116"/>
    <w:rsid w:val="00466A74"/>
    <w:rsid w:val="00470423"/>
    <w:rsid w:val="004726E1"/>
    <w:rsid w:val="00473253"/>
    <w:rsid w:val="00474AAA"/>
    <w:rsid w:val="00475C86"/>
    <w:rsid w:val="0048001C"/>
    <w:rsid w:val="0048053F"/>
    <w:rsid w:val="0048539F"/>
    <w:rsid w:val="004854D2"/>
    <w:rsid w:val="00492F81"/>
    <w:rsid w:val="00493B20"/>
    <w:rsid w:val="00494727"/>
    <w:rsid w:val="00496664"/>
    <w:rsid w:val="00496D45"/>
    <w:rsid w:val="00497A62"/>
    <w:rsid w:val="00497B75"/>
    <w:rsid w:val="004A092A"/>
    <w:rsid w:val="004A1309"/>
    <w:rsid w:val="004A396A"/>
    <w:rsid w:val="004A3A73"/>
    <w:rsid w:val="004A433C"/>
    <w:rsid w:val="004A45A7"/>
    <w:rsid w:val="004A58EF"/>
    <w:rsid w:val="004A6C93"/>
    <w:rsid w:val="004B5CD5"/>
    <w:rsid w:val="004B6692"/>
    <w:rsid w:val="004C6F90"/>
    <w:rsid w:val="004C72EE"/>
    <w:rsid w:val="004D23AC"/>
    <w:rsid w:val="004D3974"/>
    <w:rsid w:val="004D5368"/>
    <w:rsid w:val="004D639F"/>
    <w:rsid w:val="004D6519"/>
    <w:rsid w:val="004E385E"/>
    <w:rsid w:val="004E4DB2"/>
    <w:rsid w:val="004F0181"/>
    <w:rsid w:val="004F4682"/>
    <w:rsid w:val="005043B9"/>
    <w:rsid w:val="00506825"/>
    <w:rsid w:val="00516873"/>
    <w:rsid w:val="00520FD8"/>
    <w:rsid w:val="00533773"/>
    <w:rsid w:val="0053474C"/>
    <w:rsid w:val="00536308"/>
    <w:rsid w:val="005412E0"/>
    <w:rsid w:val="00546D2C"/>
    <w:rsid w:val="005517A1"/>
    <w:rsid w:val="00555033"/>
    <w:rsid w:val="00555721"/>
    <w:rsid w:val="00563496"/>
    <w:rsid w:val="005642A0"/>
    <w:rsid w:val="0056556D"/>
    <w:rsid w:val="005709B8"/>
    <w:rsid w:val="00570C46"/>
    <w:rsid w:val="00576600"/>
    <w:rsid w:val="00577EE2"/>
    <w:rsid w:val="005805CD"/>
    <w:rsid w:val="00580EDC"/>
    <w:rsid w:val="00584EB3"/>
    <w:rsid w:val="00590FCB"/>
    <w:rsid w:val="00592AFA"/>
    <w:rsid w:val="0059366F"/>
    <w:rsid w:val="00595483"/>
    <w:rsid w:val="005A2463"/>
    <w:rsid w:val="005A3DFE"/>
    <w:rsid w:val="005A591B"/>
    <w:rsid w:val="005A63A2"/>
    <w:rsid w:val="005C1310"/>
    <w:rsid w:val="005C3679"/>
    <w:rsid w:val="005D296A"/>
    <w:rsid w:val="005D2A63"/>
    <w:rsid w:val="005D315E"/>
    <w:rsid w:val="005E0060"/>
    <w:rsid w:val="005E166F"/>
    <w:rsid w:val="005E2808"/>
    <w:rsid w:val="005E4ECB"/>
    <w:rsid w:val="005E7FF5"/>
    <w:rsid w:val="005F0426"/>
    <w:rsid w:val="005F2023"/>
    <w:rsid w:val="00601123"/>
    <w:rsid w:val="006016A7"/>
    <w:rsid w:val="00603B4C"/>
    <w:rsid w:val="00605840"/>
    <w:rsid w:val="00606DC9"/>
    <w:rsid w:val="0061075D"/>
    <w:rsid w:val="00610EAD"/>
    <w:rsid w:val="00615913"/>
    <w:rsid w:val="00615989"/>
    <w:rsid w:val="006166F9"/>
    <w:rsid w:val="00616AF8"/>
    <w:rsid w:val="00616FAB"/>
    <w:rsid w:val="006201B5"/>
    <w:rsid w:val="0062057D"/>
    <w:rsid w:val="00621985"/>
    <w:rsid w:val="00621CA0"/>
    <w:rsid w:val="00622278"/>
    <w:rsid w:val="0062373F"/>
    <w:rsid w:val="0063035A"/>
    <w:rsid w:val="00632ACC"/>
    <w:rsid w:val="006348F2"/>
    <w:rsid w:val="00634C79"/>
    <w:rsid w:val="00640D63"/>
    <w:rsid w:val="00642B18"/>
    <w:rsid w:val="00643B88"/>
    <w:rsid w:val="00655AD4"/>
    <w:rsid w:val="00661886"/>
    <w:rsid w:val="00661F9C"/>
    <w:rsid w:val="006719C5"/>
    <w:rsid w:val="00671D32"/>
    <w:rsid w:val="006729E5"/>
    <w:rsid w:val="0067403F"/>
    <w:rsid w:val="00677E27"/>
    <w:rsid w:val="00682892"/>
    <w:rsid w:val="006845AC"/>
    <w:rsid w:val="00684E45"/>
    <w:rsid w:val="006855AA"/>
    <w:rsid w:val="0069004C"/>
    <w:rsid w:val="00693F8F"/>
    <w:rsid w:val="006A15D2"/>
    <w:rsid w:val="006A4574"/>
    <w:rsid w:val="006A745F"/>
    <w:rsid w:val="006B3398"/>
    <w:rsid w:val="006B4910"/>
    <w:rsid w:val="006B7D74"/>
    <w:rsid w:val="006C107B"/>
    <w:rsid w:val="006C2CED"/>
    <w:rsid w:val="006D0235"/>
    <w:rsid w:val="006D3A21"/>
    <w:rsid w:val="006D5150"/>
    <w:rsid w:val="006D601C"/>
    <w:rsid w:val="006E6C90"/>
    <w:rsid w:val="006F50D4"/>
    <w:rsid w:val="006F61FE"/>
    <w:rsid w:val="00700515"/>
    <w:rsid w:val="0070260D"/>
    <w:rsid w:val="00704160"/>
    <w:rsid w:val="00704DDD"/>
    <w:rsid w:val="00705244"/>
    <w:rsid w:val="007057D1"/>
    <w:rsid w:val="007063BE"/>
    <w:rsid w:val="00711DA8"/>
    <w:rsid w:val="0071327C"/>
    <w:rsid w:val="007138D8"/>
    <w:rsid w:val="007154EA"/>
    <w:rsid w:val="007214F8"/>
    <w:rsid w:val="00721D5A"/>
    <w:rsid w:val="007230E2"/>
    <w:rsid w:val="00723770"/>
    <w:rsid w:val="00725686"/>
    <w:rsid w:val="0072755C"/>
    <w:rsid w:val="00730890"/>
    <w:rsid w:val="00741A35"/>
    <w:rsid w:val="00743E4C"/>
    <w:rsid w:val="00747319"/>
    <w:rsid w:val="00750CE9"/>
    <w:rsid w:val="007548E5"/>
    <w:rsid w:val="007611D9"/>
    <w:rsid w:val="00761CD3"/>
    <w:rsid w:val="007632EB"/>
    <w:rsid w:val="00767240"/>
    <w:rsid w:val="0077066E"/>
    <w:rsid w:val="007714B4"/>
    <w:rsid w:val="00781C72"/>
    <w:rsid w:val="0078203F"/>
    <w:rsid w:val="00783C6F"/>
    <w:rsid w:val="00784DC8"/>
    <w:rsid w:val="007861BC"/>
    <w:rsid w:val="00786E2E"/>
    <w:rsid w:val="007941C1"/>
    <w:rsid w:val="007958A9"/>
    <w:rsid w:val="00795B74"/>
    <w:rsid w:val="007A08EC"/>
    <w:rsid w:val="007A0F6E"/>
    <w:rsid w:val="007A5728"/>
    <w:rsid w:val="007A575C"/>
    <w:rsid w:val="007A62C5"/>
    <w:rsid w:val="007B2055"/>
    <w:rsid w:val="007B3893"/>
    <w:rsid w:val="007B669A"/>
    <w:rsid w:val="007C3160"/>
    <w:rsid w:val="007C686B"/>
    <w:rsid w:val="007C68EF"/>
    <w:rsid w:val="007D02CF"/>
    <w:rsid w:val="007D1240"/>
    <w:rsid w:val="007D14FB"/>
    <w:rsid w:val="007D16BD"/>
    <w:rsid w:val="007D64FA"/>
    <w:rsid w:val="007E0E10"/>
    <w:rsid w:val="007E1688"/>
    <w:rsid w:val="007E1CBC"/>
    <w:rsid w:val="007E7BAD"/>
    <w:rsid w:val="007F013F"/>
    <w:rsid w:val="007F3456"/>
    <w:rsid w:val="007F4976"/>
    <w:rsid w:val="007F5607"/>
    <w:rsid w:val="0080481A"/>
    <w:rsid w:val="00806D38"/>
    <w:rsid w:val="00806E14"/>
    <w:rsid w:val="0080758C"/>
    <w:rsid w:val="00811ECE"/>
    <w:rsid w:val="00811FF2"/>
    <w:rsid w:val="008132B9"/>
    <w:rsid w:val="008174F4"/>
    <w:rsid w:val="00824815"/>
    <w:rsid w:val="00824FCE"/>
    <w:rsid w:val="008300F1"/>
    <w:rsid w:val="008325ED"/>
    <w:rsid w:val="00832756"/>
    <w:rsid w:val="00832DD6"/>
    <w:rsid w:val="00843647"/>
    <w:rsid w:val="008463A6"/>
    <w:rsid w:val="008500AC"/>
    <w:rsid w:val="00860B3A"/>
    <w:rsid w:val="0086261C"/>
    <w:rsid w:val="008679A9"/>
    <w:rsid w:val="008770C4"/>
    <w:rsid w:val="00882899"/>
    <w:rsid w:val="00883AE5"/>
    <w:rsid w:val="00884F37"/>
    <w:rsid w:val="00887E35"/>
    <w:rsid w:val="00891A33"/>
    <w:rsid w:val="00894269"/>
    <w:rsid w:val="008A1E74"/>
    <w:rsid w:val="008A3F9A"/>
    <w:rsid w:val="008A5EAB"/>
    <w:rsid w:val="008A6D1F"/>
    <w:rsid w:val="008B39DD"/>
    <w:rsid w:val="008B6F3F"/>
    <w:rsid w:val="008C3DC8"/>
    <w:rsid w:val="008D0C70"/>
    <w:rsid w:val="008E2E50"/>
    <w:rsid w:val="008E2FE4"/>
    <w:rsid w:val="008E649D"/>
    <w:rsid w:val="008E684D"/>
    <w:rsid w:val="008E6DD0"/>
    <w:rsid w:val="008F104E"/>
    <w:rsid w:val="008F55CB"/>
    <w:rsid w:val="008F5930"/>
    <w:rsid w:val="0090004A"/>
    <w:rsid w:val="00900951"/>
    <w:rsid w:val="00904C4F"/>
    <w:rsid w:val="00906756"/>
    <w:rsid w:val="009111C1"/>
    <w:rsid w:val="0091127D"/>
    <w:rsid w:val="0091179C"/>
    <w:rsid w:val="00911D19"/>
    <w:rsid w:val="009131B9"/>
    <w:rsid w:val="00913FF5"/>
    <w:rsid w:val="0091446F"/>
    <w:rsid w:val="00920B4E"/>
    <w:rsid w:val="00922B8E"/>
    <w:rsid w:val="009238A3"/>
    <w:rsid w:val="009277A2"/>
    <w:rsid w:val="009301A6"/>
    <w:rsid w:val="009317A1"/>
    <w:rsid w:val="00935F67"/>
    <w:rsid w:val="009377A9"/>
    <w:rsid w:val="0094174F"/>
    <w:rsid w:val="00941766"/>
    <w:rsid w:val="00941BE0"/>
    <w:rsid w:val="00944139"/>
    <w:rsid w:val="00947311"/>
    <w:rsid w:val="0095096E"/>
    <w:rsid w:val="00950E7A"/>
    <w:rsid w:val="00953131"/>
    <w:rsid w:val="00961710"/>
    <w:rsid w:val="00962DED"/>
    <w:rsid w:val="009674C4"/>
    <w:rsid w:val="00970976"/>
    <w:rsid w:val="00972D35"/>
    <w:rsid w:val="0097566B"/>
    <w:rsid w:val="00984705"/>
    <w:rsid w:val="00987518"/>
    <w:rsid w:val="00992AA8"/>
    <w:rsid w:val="009935FC"/>
    <w:rsid w:val="009959ED"/>
    <w:rsid w:val="0099705E"/>
    <w:rsid w:val="00997B52"/>
    <w:rsid w:val="00997B63"/>
    <w:rsid w:val="009A054F"/>
    <w:rsid w:val="009A11DE"/>
    <w:rsid w:val="009A5012"/>
    <w:rsid w:val="009A6A10"/>
    <w:rsid w:val="009A70B0"/>
    <w:rsid w:val="009B43EA"/>
    <w:rsid w:val="009B5A9D"/>
    <w:rsid w:val="009B5FF3"/>
    <w:rsid w:val="009C2776"/>
    <w:rsid w:val="009C30C0"/>
    <w:rsid w:val="009C5A04"/>
    <w:rsid w:val="009C74C9"/>
    <w:rsid w:val="009C78A9"/>
    <w:rsid w:val="009D0533"/>
    <w:rsid w:val="009D3C13"/>
    <w:rsid w:val="009E1FAE"/>
    <w:rsid w:val="009E5A03"/>
    <w:rsid w:val="009F1B1A"/>
    <w:rsid w:val="009F319B"/>
    <w:rsid w:val="009F323F"/>
    <w:rsid w:val="009F5269"/>
    <w:rsid w:val="009F7330"/>
    <w:rsid w:val="00A11302"/>
    <w:rsid w:val="00A12A8A"/>
    <w:rsid w:val="00A12DD6"/>
    <w:rsid w:val="00A12F45"/>
    <w:rsid w:val="00A165FC"/>
    <w:rsid w:val="00A20B8C"/>
    <w:rsid w:val="00A269B7"/>
    <w:rsid w:val="00A43B84"/>
    <w:rsid w:val="00A45DB2"/>
    <w:rsid w:val="00A46A00"/>
    <w:rsid w:val="00A46B81"/>
    <w:rsid w:val="00A50044"/>
    <w:rsid w:val="00A514F7"/>
    <w:rsid w:val="00A56063"/>
    <w:rsid w:val="00A60937"/>
    <w:rsid w:val="00A61869"/>
    <w:rsid w:val="00A645C2"/>
    <w:rsid w:val="00A66399"/>
    <w:rsid w:val="00A66543"/>
    <w:rsid w:val="00A70255"/>
    <w:rsid w:val="00A70F6D"/>
    <w:rsid w:val="00A72B86"/>
    <w:rsid w:val="00A72DA0"/>
    <w:rsid w:val="00A735D4"/>
    <w:rsid w:val="00A77998"/>
    <w:rsid w:val="00A8058A"/>
    <w:rsid w:val="00A848C0"/>
    <w:rsid w:val="00A92B1B"/>
    <w:rsid w:val="00AA093C"/>
    <w:rsid w:val="00AA5E83"/>
    <w:rsid w:val="00AA703E"/>
    <w:rsid w:val="00AB0B0B"/>
    <w:rsid w:val="00AB1CC8"/>
    <w:rsid w:val="00AB444D"/>
    <w:rsid w:val="00AB46B5"/>
    <w:rsid w:val="00AB610E"/>
    <w:rsid w:val="00AB64E5"/>
    <w:rsid w:val="00AC27CB"/>
    <w:rsid w:val="00AC4385"/>
    <w:rsid w:val="00AC5F1F"/>
    <w:rsid w:val="00AC660E"/>
    <w:rsid w:val="00AD2989"/>
    <w:rsid w:val="00AD3C9A"/>
    <w:rsid w:val="00AF4E75"/>
    <w:rsid w:val="00AF5EF4"/>
    <w:rsid w:val="00AF76EC"/>
    <w:rsid w:val="00AF7B36"/>
    <w:rsid w:val="00B03D7C"/>
    <w:rsid w:val="00B053AA"/>
    <w:rsid w:val="00B10480"/>
    <w:rsid w:val="00B10E1A"/>
    <w:rsid w:val="00B14212"/>
    <w:rsid w:val="00B20AEB"/>
    <w:rsid w:val="00B20C6B"/>
    <w:rsid w:val="00B22EE4"/>
    <w:rsid w:val="00B3054C"/>
    <w:rsid w:val="00B36EC1"/>
    <w:rsid w:val="00B40739"/>
    <w:rsid w:val="00B41579"/>
    <w:rsid w:val="00B42582"/>
    <w:rsid w:val="00B426EE"/>
    <w:rsid w:val="00B4651C"/>
    <w:rsid w:val="00B543F8"/>
    <w:rsid w:val="00B54568"/>
    <w:rsid w:val="00B61589"/>
    <w:rsid w:val="00B6196B"/>
    <w:rsid w:val="00B6501F"/>
    <w:rsid w:val="00B80E22"/>
    <w:rsid w:val="00B81D0B"/>
    <w:rsid w:val="00B82337"/>
    <w:rsid w:val="00B91FBF"/>
    <w:rsid w:val="00B94825"/>
    <w:rsid w:val="00BA0A41"/>
    <w:rsid w:val="00BA2547"/>
    <w:rsid w:val="00BA5C53"/>
    <w:rsid w:val="00BB2081"/>
    <w:rsid w:val="00BB43F4"/>
    <w:rsid w:val="00BB4F11"/>
    <w:rsid w:val="00BC28E7"/>
    <w:rsid w:val="00BD1E65"/>
    <w:rsid w:val="00BD361C"/>
    <w:rsid w:val="00BD5715"/>
    <w:rsid w:val="00BD71BA"/>
    <w:rsid w:val="00BF4194"/>
    <w:rsid w:val="00BF5EBE"/>
    <w:rsid w:val="00BF5F2C"/>
    <w:rsid w:val="00BF64BD"/>
    <w:rsid w:val="00C0113E"/>
    <w:rsid w:val="00C053B5"/>
    <w:rsid w:val="00C06BF4"/>
    <w:rsid w:val="00C06FD5"/>
    <w:rsid w:val="00C077EB"/>
    <w:rsid w:val="00C12768"/>
    <w:rsid w:val="00C12894"/>
    <w:rsid w:val="00C226CB"/>
    <w:rsid w:val="00C24A69"/>
    <w:rsid w:val="00C2562F"/>
    <w:rsid w:val="00C257B1"/>
    <w:rsid w:val="00C40AEC"/>
    <w:rsid w:val="00C4210B"/>
    <w:rsid w:val="00C4563C"/>
    <w:rsid w:val="00C50076"/>
    <w:rsid w:val="00C509FE"/>
    <w:rsid w:val="00C50B25"/>
    <w:rsid w:val="00C5374F"/>
    <w:rsid w:val="00C546B7"/>
    <w:rsid w:val="00C62919"/>
    <w:rsid w:val="00C63EF1"/>
    <w:rsid w:val="00C645C9"/>
    <w:rsid w:val="00C67A5C"/>
    <w:rsid w:val="00C75C5F"/>
    <w:rsid w:val="00C76D24"/>
    <w:rsid w:val="00C771A2"/>
    <w:rsid w:val="00C7757F"/>
    <w:rsid w:val="00C81DDE"/>
    <w:rsid w:val="00C825AA"/>
    <w:rsid w:val="00C82A96"/>
    <w:rsid w:val="00C841D6"/>
    <w:rsid w:val="00C86541"/>
    <w:rsid w:val="00C86C2C"/>
    <w:rsid w:val="00C87140"/>
    <w:rsid w:val="00C93905"/>
    <w:rsid w:val="00C95207"/>
    <w:rsid w:val="00C965DE"/>
    <w:rsid w:val="00CB1BF1"/>
    <w:rsid w:val="00CB29F7"/>
    <w:rsid w:val="00CB78E7"/>
    <w:rsid w:val="00CC1068"/>
    <w:rsid w:val="00CC597C"/>
    <w:rsid w:val="00CD69BA"/>
    <w:rsid w:val="00CE0E8A"/>
    <w:rsid w:val="00CF2AF4"/>
    <w:rsid w:val="00CF2BB5"/>
    <w:rsid w:val="00CF44F4"/>
    <w:rsid w:val="00CF69E3"/>
    <w:rsid w:val="00D01B78"/>
    <w:rsid w:val="00D03F4C"/>
    <w:rsid w:val="00D07CD9"/>
    <w:rsid w:val="00D1003C"/>
    <w:rsid w:val="00D22449"/>
    <w:rsid w:val="00D26B93"/>
    <w:rsid w:val="00D33AFF"/>
    <w:rsid w:val="00D41240"/>
    <w:rsid w:val="00D45B81"/>
    <w:rsid w:val="00D4791D"/>
    <w:rsid w:val="00D479D5"/>
    <w:rsid w:val="00D47B80"/>
    <w:rsid w:val="00D47E3A"/>
    <w:rsid w:val="00D47F14"/>
    <w:rsid w:val="00D5268A"/>
    <w:rsid w:val="00D55D43"/>
    <w:rsid w:val="00D6410A"/>
    <w:rsid w:val="00D64CED"/>
    <w:rsid w:val="00D70A50"/>
    <w:rsid w:val="00D74591"/>
    <w:rsid w:val="00D80A72"/>
    <w:rsid w:val="00D850F1"/>
    <w:rsid w:val="00D97584"/>
    <w:rsid w:val="00D97C5E"/>
    <w:rsid w:val="00DA4D6F"/>
    <w:rsid w:val="00DA5E9F"/>
    <w:rsid w:val="00DA5FF6"/>
    <w:rsid w:val="00DC04B6"/>
    <w:rsid w:val="00DD1342"/>
    <w:rsid w:val="00DD20C1"/>
    <w:rsid w:val="00DD4AC6"/>
    <w:rsid w:val="00DE1FB1"/>
    <w:rsid w:val="00DE5FDE"/>
    <w:rsid w:val="00E013EA"/>
    <w:rsid w:val="00E036E9"/>
    <w:rsid w:val="00E14350"/>
    <w:rsid w:val="00E14E95"/>
    <w:rsid w:val="00E2122F"/>
    <w:rsid w:val="00E21B3B"/>
    <w:rsid w:val="00E30F49"/>
    <w:rsid w:val="00E359F7"/>
    <w:rsid w:val="00E37653"/>
    <w:rsid w:val="00E409CE"/>
    <w:rsid w:val="00E41258"/>
    <w:rsid w:val="00E44D42"/>
    <w:rsid w:val="00E466A0"/>
    <w:rsid w:val="00E504DF"/>
    <w:rsid w:val="00E5161F"/>
    <w:rsid w:val="00E52965"/>
    <w:rsid w:val="00E637CE"/>
    <w:rsid w:val="00E63C12"/>
    <w:rsid w:val="00E76183"/>
    <w:rsid w:val="00E82BD2"/>
    <w:rsid w:val="00E82D3D"/>
    <w:rsid w:val="00E832B6"/>
    <w:rsid w:val="00E841EC"/>
    <w:rsid w:val="00E90931"/>
    <w:rsid w:val="00E94D0F"/>
    <w:rsid w:val="00EA1DCC"/>
    <w:rsid w:val="00EA7A81"/>
    <w:rsid w:val="00EA7D95"/>
    <w:rsid w:val="00EB1D8E"/>
    <w:rsid w:val="00EB396C"/>
    <w:rsid w:val="00EB6661"/>
    <w:rsid w:val="00EB68A4"/>
    <w:rsid w:val="00EB6DB1"/>
    <w:rsid w:val="00EC1499"/>
    <w:rsid w:val="00EC2689"/>
    <w:rsid w:val="00EC6BD9"/>
    <w:rsid w:val="00ED5BC0"/>
    <w:rsid w:val="00ED7C62"/>
    <w:rsid w:val="00EE27D0"/>
    <w:rsid w:val="00EE6033"/>
    <w:rsid w:val="00EF006B"/>
    <w:rsid w:val="00EF465B"/>
    <w:rsid w:val="00F02AA1"/>
    <w:rsid w:val="00F04B73"/>
    <w:rsid w:val="00F0699D"/>
    <w:rsid w:val="00F07348"/>
    <w:rsid w:val="00F10C10"/>
    <w:rsid w:val="00F12289"/>
    <w:rsid w:val="00F12989"/>
    <w:rsid w:val="00F129C2"/>
    <w:rsid w:val="00F157F8"/>
    <w:rsid w:val="00F30903"/>
    <w:rsid w:val="00F3143B"/>
    <w:rsid w:val="00F314E8"/>
    <w:rsid w:val="00F35178"/>
    <w:rsid w:val="00F35C4B"/>
    <w:rsid w:val="00F37807"/>
    <w:rsid w:val="00F4412D"/>
    <w:rsid w:val="00F44364"/>
    <w:rsid w:val="00F45FC4"/>
    <w:rsid w:val="00F46047"/>
    <w:rsid w:val="00F550EB"/>
    <w:rsid w:val="00F5521A"/>
    <w:rsid w:val="00F55A15"/>
    <w:rsid w:val="00F653FA"/>
    <w:rsid w:val="00F7276A"/>
    <w:rsid w:val="00F73F40"/>
    <w:rsid w:val="00F763EA"/>
    <w:rsid w:val="00F77FA4"/>
    <w:rsid w:val="00F81E91"/>
    <w:rsid w:val="00F82419"/>
    <w:rsid w:val="00F82DFB"/>
    <w:rsid w:val="00F83F24"/>
    <w:rsid w:val="00F842B7"/>
    <w:rsid w:val="00F90F00"/>
    <w:rsid w:val="00F91E5B"/>
    <w:rsid w:val="00F929D5"/>
    <w:rsid w:val="00F9474A"/>
    <w:rsid w:val="00FA3334"/>
    <w:rsid w:val="00FA3AB9"/>
    <w:rsid w:val="00FB31E4"/>
    <w:rsid w:val="00FB4469"/>
    <w:rsid w:val="00FC7890"/>
    <w:rsid w:val="00FD3D32"/>
    <w:rsid w:val="00FD3E48"/>
    <w:rsid w:val="00FD5FF9"/>
    <w:rsid w:val="00FD74EB"/>
    <w:rsid w:val="00FD767B"/>
    <w:rsid w:val="00FE3132"/>
    <w:rsid w:val="00FE5641"/>
    <w:rsid w:val="00FE5CF3"/>
    <w:rsid w:val="00FE6119"/>
    <w:rsid w:val="00FF0776"/>
    <w:rsid w:val="00FF2A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22E76"/>
  <w15:docId w15:val="{D70B63F9-7F34-4059-925D-07BDE8D76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D4AC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9C74C9"/>
    <w:pPr>
      <w:ind w:left="720"/>
      <w:contextualSpacing/>
    </w:pPr>
  </w:style>
  <w:style w:type="table" w:styleId="Tabela-Siatka">
    <w:name w:val="Table Grid"/>
    <w:basedOn w:val="Standardowy"/>
    <w:uiPriority w:val="39"/>
    <w:rsid w:val="009C74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C06FD5"/>
    <w:pPr>
      <w:tabs>
        <w:tab w:val="center" w:pos="4536"/>
        <w:tab w:val="right" w:pos="9072"/>
      </w:tabs>
      <w:spacing w:after="0" w:line="240" w:lineRule="auto"/>
    </w:pPr>
  </w:style>
  <w:style w:type="character" w:customStyle="1" w:styleId="NagwekZnak">
    <w:name w:val="Nagłówek Znak"/>
    <w:basedOn w:val="Domylnaczcionkaakapitu"/>
    <w:link w:val="Nagwek"/>
    <w:rsid w:val="00C06FD5"/>
  </w:style>
  <w:style w:type="paragraph" w:styleId="Stopka">
    <w:name w:val="footer"/>
    <w:basedOn w:val="Normalny"/>
    <w:link w:val="StopkaZnak"/>
    <w:uiPriority w:val="99"/>
    <w:unhideWhenUsed/>
    <w:rsid w:val="00C06F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6FD5"/>
  </w:style>
  <w:style w:type="paragraph" w:styleId="Tekstdymka">
    <w:name w:val="Balloon Text"/>
    <w:basedOn w:val="Normalny"/>
    <w:link w:val="TekstdymkaZnak"/>
    <w:uiPriority w:val="99"/>
    <w:semiHidden/>
    <w:unhideWhenUsed/>
    <w:rsid w:val="00D47E3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47E3A"/>
    <w:rPr>
      <w:rFonts w:ascii="Segoe UI" w:hAnsi="Segoe UI" w:cs="Segoe UI"/>
      <w:sz w:val="18"/>
      <w:szCs w:val="18"/>
    </w:rPr>
  </w:style>
  <w:style w:type="paragraph" w:customStyle="1" w:styleId="articlebodyblock">
    <w:name w:val="articlebodyblock"/>
    <w:basedOn w:val="Normalny"/>
    <w:rsid w:val="0031317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94825"/>
    <w:rPr>
      <w:sz w:val="16"/>
      <w:szCs w:val="16"/>
    </w:rPr>
  </w:style>
  <w:style w:type="paragraph" w:styleId="Tekstkomentarza">
    <w:name w:val="annotation text"/>
    <w:basedOn w:val="Normalny"/>
    <w:link w:val="TekstkomentarzaZnak"/>
    <w:uiPriority w:val="99"/>
    <w:semiHidden/>
    <w:unhideWhenUsed/>
    <w:rsid w:val="00B9482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94825"/>
    <w:rPr>
      <w:sz w:val="20"/>
      <w:szCs w:val="20"/>
    </w:rPr>
  </w:style>
  <w:style w:type="paragraph" w:styleId="Tematkomentarza">
    <w:name w:val="annotation subject"/>
    <w:basedOn w:val="Tekstkomentarza"/>
    <w:next w:val="Tekstkomentarza"/>
    <w:link w:val="TematkomentarzaZnak"/>
    <w:uiPriority w:val="99"/>
    <w:semiHidden/>
    <w:unhideWhenUsed/>
    <w:rsid w:val="00B94825"/>
    <w:rPr>
      <w:b/>
      <w:bCs/>
    </w:rPr>
  </w:style>
  <w:style w:type="character" w:customStyle="1" w:styleId="TematkomentarzaZnak">
    <w:name w:val="Temat komentarza Znak"/>
    <w:basedOn w:val="TekstkomentarzaZnak"/>
    <w:link w:val="Tematkomentarza"/>
    <w:uiPriority w:val="99"/>
    <w:semiHidden/>
    <w:rsid w:val="00B94825"/>
    <w:rPr>
      <w:b/>
      <w:bCs/>
      <w:sz w:val="20"/>
      <w:szCs w:val="20"/>
    </w:rPr>
  </w:style>
  <w:style w:type="character" w:styleId="Hipercze">
    <w:name w:val="Hyperlink"/>
    <w:basedOn w:val="Domylnaczcionkaakapitu"/>
    <w:uiPriority w:val="99"/>
    <w:unhideWhenUsed/>
    <w:rsid w:val="009277A2"/>
    <w:rPr>
      <w:color w:val="0000FF" w:themeColor="hyperlink"/>
      <w:u w:val="single"/>
    </w:rPr>
  </w:style>
  <w:style w:type="character" w:styleId="Nierozpoznanawzmianka">
    <w:name w:val="Unresolved Mention"/>
    <w:basedOn w:val="Domylnaczcionkaakapitu"/>
    <w:uiPriority w:val="99"/>
    <w:semiHidden/>
    <w:unhideWhenUsed/>
    <w:rsid w:val="009277A2"/>
    <w:rPr>
      <w:color w:val="605E5C"/>
      <w:shd w:val="clear" w:color="auto" w:fill="E1DFDD"/>
    </w:rPr>
  </w:style>
  <w:style w:type="character" w:styleId="UyteHipercze">
    <w:name w:val="FollowedHyperlink"/>
    <w:basedOn w:val="Domylnaczcionkaakapitu"/>
    <w:uiPriority w:val="99"/>
    <w:semiHidden/>
    <w:unhideWhenUsed/>
    <w:rsid w:val="001B5F44"/>
    <w:rPr>
      <w:color w:val="800080" w:themeColor="followedHyperlink"/>
      <w:u w:val="single"/>
    </w:rPr>
  </w:style>
  <w:style w:type="paragraph" w:styleId="Tekstprzypisudolnego">
    <w:name w:val="footnote text"/>
    <w:basedOn w:val="Normalny"/>
    <w:link w:val="TekstprzypisudolnegoZnak"/>
    <w:uiPriority w:val="99"/>
    <w:unhideWhenUsed/>
    <w:rsid w:val="00F81E9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F81E91"/>
    <w:rPr>
      <w:sz w:val="20"/>
      <w:szCs w:val="20"/>
    </w:rPr>
  </w:style>
  <w:style w:type="character" w:styleId="Odwoanieprzypisudolnego">
    <w:name w:val="footnote reference"/>
    <w:basedOn w:val="Domylnaczcionkaakapitu"/>
    <w:uiPriority w:val="99"/>
    <w:semiHidden/>
    <w:unhideWhenUsed/>
    <w:rsid w:val="00F81E91"/>
    <w:rPr>
      <w:vertAlign w:val="superscript"/>
    </w:rPr>
  </w:style>
  <w:style w:type="paragraph" w:customStyle="1" w:styleId="ARTartustawynprozporzdzenia">
    <w:name w:val="ART(§) – art. ustawy (§ np. rozporządzenia)"/>
    <w:uiPriority w:val="11"/>
    <w:qFormat/>
    <w:rsid w:val="007A575C"/>
    <w:pPr>
      <w:suppressAutoHyphens/>
      <w:autoSpaceDE w:val="0"/>
      <w:autoSpaceDN w:val="0"/>
      <w:adjustRightInd w:val="0"/>
      <w:spacing w:before="120" w:after="0" w:line="360" w:lineRule="auto"/>
      <w:ind w:firstLine="510"/>
      <w:jc w:val="both"/>
    </w:pPr>
    <w:rPr>
      <w:rFonts w:ascii="Times" w:eastAsiaTheme="minorEastAsia" w:hAnsi="Times" w:cs="Arial"/>
      <w:sz w:val="24"/>
      <w:szCs w:val="20"/>
      <w:lang w:eastAsia="pl-PL"/>
    </w:rPr>
  </w:style>
  <w:style w:type="character" w:customStyle="1" w:styleId="Ppogrubienie">
    <w:name w:val="_P_ – pogrubienie"/>
    <w:basedOn w:val="Domylnaczcionkaakapitu"/>
    <w:uiPriority w:val="1"/>
    <w:qFormat/>
    <w:rsid w:val="007A575C"/>
    <w:rPr>
      <w:b/>
    </w:rPr>
  </w:style>
  <w:style w:type="paragraph" w:customStyle="1" w:styleId="Default">
    <w:name w:val="Default"/>
    <w:rsid w:val="00127A21"/>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basedOn w:val="Domylnaczcionkaakapitu"/>
    <w:link w:val="Akapitzlist"/>
    <w:uiPriority w:val="34"/>
    <w:locked/>
    <w:rsid w:val="009301A6"/>
  </w:style>
  <w:style w:type="paragraph" w:customStyle="1" w:styleId="doc-ti">
    <w:name w:val="doc-ti"/>
    <w:basedOn w:val="Normalny"/>
    <w:rsid w:val="009301A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rsid w:val="0086261C"/>
    <w:pPr>
      <w:spacing w:after="0" w:line="360" w:lineRule="atLeast"/>
      <w:jc w:val="both"/>
    </w:pPr>
    <w:rPr>
      <w:rFonts w:ascii="Garamond" w:eastAsia="Times New Roman" w:hAnsi="Garamond" w:cs="Times New Roman"/>
      <w:sz w:val="26"/>
      <w:szCs w:val="20"/>
      <w:lang w:eastAsia="pl-PL"/>
    </w:rPr>
  </w:style>
  <w:style w:type="character" w:customStyle="1" w:styleId="Tekstpodstawowy2Znak">
    <w:name w:val="Tekst podstawowy 2 Znak"/>
    <w:basedOn w:val="Domylnaczcionkaakapitu"/>
    <w:link w:val="Tekstpodstawowy2"/>
    <w:uiPriority w:val="99"/>
    <w:rsid w:val="0086261C"/>
    <w:rPr>
      <w:rFonts w:ascii="Garamond" w:eastAsia="Times New Roman" w:hAnsi="Garamond" w:cs="Times New Roman"/>
      <w:sz w:val="26"/>
      <w:szCs w:val="20"/>
      <w:lang w:eastAsia="pl-PL"/>
    </w:rPr>
  </w:style>
  <w:style w:type="character" w:customStyle="1" w:styleId="Nagwek1Znak">
    <w:name w:val="Nagłówek 1 Znak"/>
    <w:basedOn w:val="Domylnaczcionkaakapitu"/>
    <w:link w:val="Nagwek1"/>
    <w:uiPriority w:val="9"/>
    <w:rsid w:val="00DD4AC6"/>
    <w:rPr>
      <w:rFonts w:asciiTheme="majorHAnsi" w:eastAsiaTheme="majorEastAsia" w:hAnsiTheme="majorHAnsi" w:cstheme="majorBidi"/>
      <w:color w:val="365F91" w:themeColor="accent1" w:themeShade="BF"/>
      <w:sz w:val="32"/>
      <w:szCs w:val="32"/>
    </w:rPr>
  </w:style>
  <w:style w:type="paragraph" w:styleId="Tekstprzypisukocowego">
    <w:name w:val="endnote text"/>
    <w:basedOn w:val="Normalny"/>
    <w:link w:val="TekstprzypisukocowegoZnak"/>
    <w:uiPriority w:val="99"/>
    <w:semiHidden/>
    <w:unhideWhenUsed/>
    <w:rsid w:val="005043B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043B9"/>
    <w:rPr>
      <w:sz w:val="20"/>
      <w:szCs w:val="20"/>
    </w:rPr>
  </w:style>
  <w:style w:type="character" w:styleId="Odwoanieprzypisukocowego">
    <w:name w:val="endnote reference"/>
    <w:basedOn w:val="Domylnaczcionkaakapitu"/>
    <w:uiPriority w:val="99"/>
    <w:semiHidden/>
    <w:unhideWhenUsed/>
    <w:rsid w:val="005043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6775">
      <w:bodyDiv w:val="1"/>
      <w:marLeft w:val="0"/>
      <w:marRight w:val="0"/>
      <w:marTop w:val="0"/>
      <w:marBottom w:val="0"/>
      <w:divBdr>
        <w:top w:val="none" w:sz="0" w:space="0" w:color="auto"/>
        <w:left w:val="none" w:sz="0" w:space="0" w:color="auto"/>
        <w:bottom w:val="none" w:sz="0" w:space="0" w:color="auto"/>
        <w:right w:val="none" w:sz="0" w:space="0" w:color="auto"/>
      </w:divBdr>
    </w:div>
    <w:div w:id="34239215">
      <w:bodyDiv w:val="1"/>
      <w:marLeft w:val="0"/>
      <w:marRight w:val="0"/>
      <w:marTop w:val="0"/>
      <w:marBottom w:val="0"/>
      <w:divBdr>
        <w:top w:val="none" w:sz="0" w:space="0" w:color="auto"/>
        <w:left w:val="none" w:sz="0" w:space="0" w:color="auto"/>
        <w:bottom w:val="none" w:sz="0" w:space="0" w:color="auto"/>
        <w:right w:val="none" w:sz="0" w:space="0" w:color="auto"/>
      </w:divBdr>
    </w:div>
    <w:div w:id="82000178">
      <w:bodyDiv w:val="1"/>
      <w:marLeft w:val="0"/>
      <w:marRight w:val="0"/>
      <w:marTop w:val="0"/>
      <w:marBottom w:val="0"/>
      <w:divBdr>
        <w:top w:val="none" w:sz="0" w:space="0" w:color="auto"/>
        <w:left w:val="none" w:sz="0" w:space="0" w:color="auto"/>
        <w:bottom w:val="none" w:sz="0" w:space="0" w:color="auto"/>
        <w:right w:val="none" w:sz="0" w:space="0" w:color="auto"/>
      </w:divBdr>
    </w:div>
    <w:div w:id="114561671">
      <w:bodyDiv w:val="1"/>
      <w:marLeft w:val="0"/>
      <w:marRight w:val="0"/>
      <w:marTop w:val="0"/>
      <w:marBottom w:val="0"/>
      <w:divBdr>
        <w:top w:val="none" w:sz="0" w:space="0" w:color="auto"/>
        <w:left w:val="none" w:sz="0" w:space="0" w:color="auto"/>
        <w:bottom w:val="none" w:sz="0" w:space="0" w:color="auto"/>
        <w:right w:val="none" w:sz="0" w:space="0" w:color="auto"/>
      </w:divBdr>
    </w:div>
    <w:div w:id="147093630">
      <w:bodyDiv w:val="1"/>
      <w:marLeft w:val="0"/>
      <w:marRight w:val="0"/>
      <w:marTop w:val="0"/>
      <w:marBottom w:val="0"/>
      <w:divBdr>
        <w:top w:val="none" w:sz="0" w:space="0" w:color="auto"/>
        <w:left w:val="none" w:sz="0" w:space="0" w:color="auto"/>
        <w:bottom w:val="none" w:sz="0" w:space="0" w:color="auto"/>
        <w:right w:val="none" w:sz="0" w:space="0" w:color="auto"/>
      </w:divBdr>
    </w:div>
    <w:div w:id="170266493">
      <w:bodyDiv w:val="1"/>
      <w:marLeft w:val="0"/>
      <w:marRight w:val="0"/>
      <w:marTop w:val="0"/>
      <w:marBottom w:val="0"/>
      <w:divBdr>
        <w:top w:val="none" w:sz="0" w:space="0" w:color="auto"/>
        <w:left w:val="none" w:sz="0" w:space="0" w:color="auto"/>
        <w:bottom w:val="none" w:sz="0" w:space="0" w:color="auto"/>
        <w:right w:val="none" w:sz="0" w:space="0" w:color="auto"/>
      </w:divBdr>
    </w:div>
    <w:div w:id="211961714">
      <w:bodyDiv w:val="1"/>
      <w:marLeft w:val="0"/>
      <w:marRight w:val="0"/>
      <w:marTop w:val="0"/>
      <w:marBottom w:val="0"/>
      <w:divBdr>
        <w:top w:val="none" w:sz="0" w:space="0" w:color="auto"/>
        <w:left w:val="none" w:sz="0" w:space="0" w:color="auto"/>
        <w:bottom w:val="none" w:sz="0" w:space="0" w:color="auto"/>
        <w:right w:val="none" w:sz="0" w:space="0" w:color="auto"/>
      </w:divBdr>
    </w:div>
    <w:div w:id="445740504">
      <w:bodyDiv w:val="1"/>
      <w:marLeft w:val="0"/>
      <w:marRight w:val="0"/>
      <w:marTop w:val="0"/>
      <w:marBottom w:val="0"/>
      <w:divBdr>
        <w:top w:val="none" w:sz="0" w:space="0" w:color="auto"/>
        <w:left w:val="none" w:sz="0" w:space="0" w:color="auto"/>
        <w:bottom w:val="none" w:sz="0" w:space="0" w:color="auto"/>
        <w:right w:val="none" w:sz="0" w:space="0" w:color="auto"/>
      </w:divBdr>
    </w:div>
    <w:div w:id="515004787">
      <w:bodyDiv w:val="1"/>
      <w:marLeft w:val="0"/>
      <w:marRight w:val="0"/>
      <w:marTop w:val="0"/>
      <w:marBottom w:val="0"/>
      <w:divBdr>
        <w:top w:val="none" w:sz="0" w:space="0" w:color="auto"/>
        <w:left w:val="none" w:sz="0" w:space="0" w:color="auto"/>
        <w:bottom w:val="none" w:sz="0" w:space="0" w:color="auto"/>
        <w:right w:val="none" w:sz="0" w:space="0" w:color="auto"/>
      </w:divBdr>
    </w:div>
    <w:div w:id="591861125">
      <w:bodyDiv w:val="1"/>
      <w:marLeft w:val="0"/>
      <w:marRight w:val="0"/>
      <w:marTop w:val="0"/>
      <w:marBottom w:val="0"/>
      <w:divBdr>
        <w:top w:val="none" w:sz="0" w:space="0" w:color="auto"/>
        <w:left w:val="none" w:sz="0" w:space="0" w:color="auto"/>
        <w:bottom w:val="none" w:sz="0" w:space="0" w:color="auto"/>
        <w:right w:val="none" w:sz="0" w:space="0" w:color="auto"/>
      </w:divBdr>
    </w:div>
    <w:div w:id="603878603">
      <w:bodyDiv w:val="1"/>
      <w:marLeft w:val="0"/>
      <w:marRight w:val="0"/>
      <w:marTop w:val="0"/>
      <w:marBottom w:val="0"/>
      <w:divBdr>
        <w:top w:val="none" w:sz="0" w:space="0" w:color="auto"/>
        <w:left w:val="none" w:sz="0" w:space="0" w:color="auto"/>
        <w:bottom w:val="none" w:sz="0" w:space="0" w:color="auto"/>
        <w:right w:val="none" w:sz="0" w:space="0" w:color="auto"/>
      </w:divBdr>
    </w:div>
    <w:div w:id="702290076">
      <w:bodyDiv w:val="1"/>
      <w:marLeft w:val="0"/>
      <w:marRight w:val="0"/>
      <w:marTop w:val="0"/>
      <w:marBottom w:val="0"/>
      <w:divBdr>
        <w:top w:val="none" w:sz="0" w:space="0" w:color="auto"/>
        <w:left w:val="none" w:sz="0" w:space="0" w:color="auto"/>
        <w:bottom w:val="none" w:sz="0" w:space="0" w:color="auto"/>
        <w:right w:val="none" w:sz="0" w:space="0" w:color="auto"/>
      </w:divBdr>
    </w:div>
    <w:div w:id="847793937">
      <w:bodyDiv w:val="1"/>
      <w:marLeft w:val="0"/>
      <w:marRight w:val="0"/>
      <w:marTop w:val="0"/>
      <w:marBottom w:val="0"/>
      <w:divBdr>
        <w:top w:val="none" w:sz="0" w:space="0" w:color="auto"/>
        <w:left w:val="none" w:sz="0" w:space="0" w:color="auto"/>
        <w:bottom w:val="none" w:sz="0" w:space="0" w:color="auto"/>
        <w:right w:val="none" w:sz="0" w:space="0" w:color="auto"/>
      </w:divBdr>
    </w:div>
    <w:div w:id="871116270">
      <w:bodyDiv w:val="1"/>
      <w:marLeft w:val="0"/>
      <w:marRight w:val="0"/>
      <w:marTop w:val="0"/>
      <w:marBottom w:val="0"/>
      <w:divBdr>
        <w:top w:val="none" w:sz="0" w:space="0" w:color="auto"/>
        <w:left w:val="none" w:sz="0" w:space="0" w:color="auto"/>
        <w:bottom w:val="none" w:sz="0" w:space="0" w:color="auto"/>
        <w:right w:val="none" w:sz="0" w:space="0" w:color="auto"/>
      </w:divBdr>
    </w:div>
    <w:div w:id="1112092378">
      <w:bodyDiv w:val="1"/>
      <w:marLeft w:val="0"/>
      <w:marRight w:val="0"/>
      <w:marTop w:val="0"/>
      <w:marBottom w:val="0"/>
      <w:divBdr>
        <w:top w:val="none" w:sz="0" w:space="0" w:color="auto"/>
        <w:left w:val="none" w:sz="0" w:space="0" w:color="auto"/>
        <w:bottom w:val="none" w:sz="0" w:space="0" w:color="auto"/>
        <w:right w:val="none" w:sz="0" w:space="0" w:color="auto"/>
      </w:divBdr>
    </w:div>
    <w:div w:id="1162084520">
      <w:bodyDiv w:val="1"/>
      <w:marLeft w:val="0"/>
      <w:marRight w:val="0"/>
      <w:marTop w:val="0"/>
      <w:marBottom w:val="0"/>
      <w:divBdr>
        <w:top w:val="none" w:sz="0" w:space="0" w:color="auto"/>
        <w:left w:val="none" w:sz="0" w:space="0" w:color="auto"/>
        <w:bottom w:val="none" w:sz="0" w:space="0" w:color="auto"/>
        <w:right w:val="none" w:sz="0" w:space="0" w:color="auto"/>
      </w:divBdr>
    </w:div>
    <w:div w:id="1268007922">
      <w:bodyDiv w:val="1"/>
      <w:marLeft w:val="0"/>
      <w:marRight w:val="0"/>
      <w:marTop w:val="0"/>
      <w:marBottom w:val="0"/>
      <w:divBdr>
        <w:top w:val="none" w:sz="0" w:space="0" w:color="auto"/>
        <w:left w:val="none" w:sz="0" w:space="0" w:color="auto"/>
        <w:bottom w:val="none" w:sz="0" w:space="0" w:color="auto"/>
        <w:right w:val="none" w:sz="0" w:space="0" w:color="auto"/>
      </w:divBdr>
    </w:div>
    <w:div w:id="1274286201">
      <w:bodyDiv w:val="1"/>
      <w:marLeft w:val="0"/>
      <w:marRight w:val="0"/>
      <w:marTop w:val="0"/>
      <w:marBottom w:val="0"/>
      <w:divBdr>
        <w:top w:val="none" w:sz="0" w:space="0" w:color="auto"/>
        <w:left w:val="none" w:sz="0" w:space="0" w:color="auto"/>
        <w:bottom w:val="none" w:sz="0" w:space="0" w:color="auto"/>
        <w:right w:val="none" w:sz="0" w:space="0" w:color="auto"/>
      </w:divBdr>
    </w:div>
    <w:div w:id="1340156564">
      <w:bodyDiv w:val="1"/>
      <w:marLeft w:val="0"/>
      <w:marRight w:val="0"/>
      <w:marTop w:val="0"/>
      <w:marBottom w:val="0"/>
      <w:divBdr>
        <w:top w:val="none" w:sz="0" w:space="0" w:color="auto"/>
        <w:left w:val="none" w:sz="0" w:space="0" w:color="auto"/>
        <w:bottom w:val="none" w:sz="0" w:space="0" w:color="auto"/>
        <w:right w:val="none" w:sz="0" w:space="0" w:color="auto"/>
      </w:divBdr>
    </w:div>
    <w:div w:id="1366717116">
      <w:bodyDiv w:val="1"/>
      <w:marLeft w:val="0"/>
      <w:marRight w:val="0"/>
      <w:marTop w:val="0"/>
      <w:marBottom w:val="0"/>
      <w:divBdr>
        <w:top w:val="none" w:sz="0" w:space="0" w:color="auto"/>
        <w:left w:val="none" w:sz="0" w:space="0" w:color="auto"/>
        <w:bottom w:val="none" w:sz="0" w:space="0" w:color="auto"/>
        <w:right w:val="none" w:sz="0" w:space="0" w:color="auto"/>
      </w:divBdr>
      <w:divsChild>
        <w:div w:id="133260657">
          <w:marLeft w:val="0"/>
          <w:marRight w:val="0"/>
          <w:marTop w:val="0"/>
          <w:marBottom w:val="0"/>
          <w:divBdr>
            <w:top w:val="none" w:sz="0" w:space="0" w:color="auto"/>
            <w:left w:val="none" w:sz="0" w:space="0" w:color="auto"/>
            <w:bottom w:val="none" w:sz="0" w:space="0" w:color="auto"/>
            <w:right w:val="none" w:sz="0" w:space="0" w:color="auto"/>
          </w:divBdr>
        </w:div>
      </w:divsChild>
    </w:div>
    <w:div w:id="1373921192">
      <w:bodyDiv w:val="1"/>
      <w:marLeft w:val="0"/>
      <w:marRight w:val="0"/>
      <w:marTop w:val="0"/>
      <w:marBottom w:val="0"/>
      <w:divBdr>
        <w:top w:val="none" w:sz="0" w:space="0" w:color="auto"/>
        <w:left w:val="none" w:sz="0" w:space="0" w:color="auto"/>
        <w:bottom w:val="none" w:sz="0" w:space="0" w:color="auto"/>
        <w:right w:val="none" w:sz="0" w:space="0" w:color="auto"/>
      </w:divBdr>
    </w:div>
    <w:div w:id="1380594949">
      <w:bodyDiv w:val="1"/>
      <w:marLeft w:val="0"/>
      <w:marRight w:val="0"/>
      <w:marTop w:val="0"/>
      <w:marBottom w:val="0"/>
      <w:divBdr>
        <w:top w:val="none" w:sz="0" w:space="0" w:color="auto"/>
        <w:left w:val="none" w:sz="0" w:space="0" w:color="auto"/>
        <w:bottom w:val="none" w:sz="0" w:space="0" w:color="auto"/>
        <w:right w:val="none" w:sz="0" w:space="0" w:color="auto"/>
      </w:divBdr>
    </w:div>
    <w:div w:id="1410347577">
      <w:bodyDiv w:val="1"/>
      <w:marLeft w:val="0"/>
      <w:marRight w:val="0"/>
      <w:marTop w:val="0"/>
      <w:marBottom w:val="0"/>
      <w:divBdr>
        <w:top w:val="none" w:sz="0" w:space="0" w:color="auto"/>
        <w:left w:val="none" w:sz="0" w:space="0" w:color="auto"/>
        <w:bottom w:val="none" w:sz="0" w:space="0" w:color="auto"/>
        <w:right w:val="none" w:sz="0" w:space="0" w:color="auto"/>
      </w:divBdr>
      <w:divsChild>
        <w:div w:id="405415807">
          <w:marLeft w:val="0"/>
          <w:marRight w:val="0"/>
          <w:marTop w:val="0"/>
          <w:marBottom w:val="0"/>
          <w:divBdr>
            <w:top w:val="none" w:sz="0" w:space="0" w:color="auto"/>
            <w:left w:val="none" w:sz="0" w:space="0" w:color="auto"/>
            <w:bottom w:val="none" w:sz="0" w:space="0" w:color="auto"/>
            <w:right w:val="none" w:sz="0" w:space="0" w:color="auto"/>
          </w:divBdr>
        </w:div>
      </w:divsChild>
    </w:div>
    <w:div w:id="1498423007">
      <w:bodyDiv w:val="1"/>
      <w:marLeft w:val="0"/>
      <w:marRight w:val="0"/>
      <w:marTop w:val="0"/>
      <w:marBottom w:val="0"/>
      <w:divBdr>
        <w:top w:val="none" w:sz="0" w:space="0" w:color="auto"/>
        <w:left w:val="none" w:sz="0" w:space="0" w:color="auto"/>
        <w:bottom w:val="none" w:sz="0" w:space="0" w:color="auto"/>
        <w:right w:val="none" w:sz="0" w:space="0" w:color="auto"/>
      </w:divBdr>
    </w:div>
    <w:div w:id="1537354965">
      <w:bodyDiv w:val="1"/>
      <w:marLeft w:val="0"/>
      <w:marRight w:val="0"/>
      <w:marTop w:val="0"/>
      <w:marBottom w:val="0"/>
      <w:divBdr>
        <w:top w:val="none" w:sz="0" w:space="0" w:color="auto"/>
        <w:left w:val="none" w:sz="0" w:space="0" w:color="auto"/>
        <w:bottom w:val="none" w:sz="0" w:space="0" w:color="auto"/>
        <w:right w:val="none" w:sz="0" w:space="0" w:color="auto"/>
      </w:divBdr>
    </w:div>
    <w:div w:id="1541478045">
      <w:bodyDiv w:val="1"/>
      <w:marLeft w:val="0"/>
      <w:marRight w:val="0"/>
      <w:marTop w:val="0"/>
      <w:marBottom w:val="0"/>
      <w:divBdr>
        <w:top w:val="none" w:sz="0" w:space="0" w:color="auto"/>
        <w:left w:val="none" w:sz="0" w:space="0" w:color="auto"/>
        <w:bottom w:val="none" w:sz="0" w:space="0" w:color="auto"/>
        <w:right w:val="none" w:sz="0" w:space="0" w:color="auto"/>
      </w:divBdr>
    </w:div>
    <w:div w:id="1585525819">
      <w:bodyDiv w:val="1"/>
      <w:marLeft w:val="0"/>
      <w:marRight w:val="0"/>
      <w:marTop w:val="0"/>
      <w:marBottom w:val="0"/>
      <w:divBdr>
        <w:top w:val="none" w:sz="0" w:space="0" w:color="auto"/>
        <w:left w:val="none" w:sz="0" w:space="0" w:color="auto"/>
        <w:bottom w:val="none" w:sz="0" w:space="0" w:color="auto"/>
        <w:right w:val="none" w:sz="0" w:space="0" w:color="auto"/>
      </w:divBdr>
    </w:div>
    <w:div w:id="1599216642">
      <w:bodyDiv w:val="1"/>
      <w:marLeft w:val="0"/>
      <w:marRight w:val="0"/>
      <w:marTop w:val="0"/>
      <w:marBottom w:val="0"/>
      <w:divBdr>
        <w:top w:val="none" w:sz="0" w:space="0" w:color="auto"/>
        <w:left w:val="none" w:sz="0" w:space="0" w:color="auto"/>
        <w:bottom w:val="none" w:sz="0" w:space="0" w:color="auto"/>
        <w:right w:val="none" w:sz="0" w:space="0" w:color="auto"/>
      </w:divBdr>
    </w:div>
    <w:div w:id="1824733539">
      <w:bodyDiv w:val="1"/>
      <w:marLeft w:val="0"/>
      <w:marRight w:val="0"/>
      <w:marTop w:val="0"/>
      <w:marBottom w:val="0"/>
      <w:divBdr>
        <w:top w:val="none" w:sz="0" w:space="0" w:color="auto"/>
        <w:left w:val="none" w:sz="0" w:space="0" w:color="auto"/>
        <w:bottom w:val="none" w:sz="0" w:space="0" w:color="auto"/>
        <w:right w:val="none" w:sz="0" w:space="0" w:color="auto"/>
      </w:divBdr>
    </w:div>
    <w:div w:id="1918316786">
      <w:bodyDiv w:val="1"/>
      <w:marLeft w:val="0"/>
      <w:marRight w:val="0"/>
      <w:marTop w:val="0"/>
      <w:marBottom w:val="0"/>
      <w:divBdr>
        <w:top w:val="none" w:sz="0" w:space="0" w:color="auto"/>
        <w:left w:val="none" w:sz="0" w:space="0" w:color="auto"/>
        <w:bottom w:val="none" w:sz="0" w:space="0" w:color="auto"/>
        <w:right w:val="none" w:sz="0" w:space="0" w:color="auto"/>
      </w:divBdr>
    </w:div>
    <w:div w:id="1947542542">
      <w:bodyDiv w:val="1"/>
      <w:marLeft w:val="0"/>
      <w:marRight w:val="0"/>
      <w:marTop w:val="0"/>
      <w:marBottom w:val="0"/>
      <w:divBdr>
        <w:top w:val="none" w:sz="0" w:space="0" w:color="auto"/>
        <w:left w:val="none" w:sz="0" w:space="0" w:color="auto"/>
        <w:bottom w:val="none" w:sz="0" w:space="0" w:color="auto"/>
        <w:right w:val="none" w:sz="0" w:space="0" w:color="auto"/>
      </w:divBdr>
    </w:div>
    <w:div w:id="200450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D6867-3986-4438-8139-E923F3596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2605</Words>
  <Characters>15634</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Ministerstwo Finansów</Company>
  <LinksUpToDate>false</LinksUpToDate>
  <CharactersWithSpaces>18203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pracownik</cp:lastModifiedBy>
  <cp:revision>2</cp:revision>
  <cp:lastPrinted>2026-01-23T09:12:00Z</cp:lastPrinted>
  <dcterms:created xsi:type="dcterms:W3CDTF">2026-05-15T10:20:00Z</dcterms:created>
  <dcterms:modified xsi:type="dcterms:W3CDTF">2026-05-15T10:20:00Z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UxC4dwLulzfINJ8nQH+xvX5LNGipWa4BRSZhPgxsCvmXYANQjbIpLQEU8N4dGIBbD5BPOQwWdYw8VJGBDc3SvA==</vt:lpwstr>
  </property>
  <property fmtid="{D5CDD505-2E9C-101B-9397-08002B2CF9AE}" pid="4" name="MFClassificationDate">
    <vt:lpwstr>2022-02-04T13:32:18.7558058+01:00</vt:lpwstr>
  </property>
  <property fmtid="{D5CDD505-2E9C-101B-9397-08002B2CF9AE}" pid="5" name="MFClassifiedBySID">
    <vt:lpwstr>UxC4dwLulzfINJ8nQH+xvX5LNGipWa4BRSZhPgxsCvm42mrIC/DSDv0ggS+FjUN/2v1BBotkLlY5aAiEhoi6uSancc4JeOSDIyPGZLIAx3j7rZLJYJaeDIhe9o2EWMTw</vt:lpwstr>
  </property>
  <property fmtid="{D5CDD505-2E9C-101B-9397-08002B2CF9AE}" pid="6" name="MFGRNItemId">
    <vt:lpwstr>GRN-42ba7221-bd4e-40b0-b561-48e20b88bd37</vt:lpwstr>
  </property>
  <property fmtid="{D5CDD505-2E9C-101B-9397-08002B2CF9AE}" pid="7" name="MFHash">
    <vt:lpwstr>qgXVwHVPENGHjnV+OKPe3HwpB3UQ8Q87SuLyrFjN2ds=</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